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300"/>
        <w:jc w:val="center"/>
        <w:rPr>
          <w:rFonts w:hint="default" w:ascii="Times New Roman" w:hAnsi="Times New Roman" w:cs="Times New Roman"/>
          <w:i w:val="0"/>
          <w:caps w:val="0"/>
          <w:color w:val="333333"/>
          <w:spacing w:val="0"/>
          <w:sz w:val="32"/>
          <w:szCs w:val="32"/>
        </w:rPr>
      </w:pPr>
      <w:r>
        <w:rPr>
          <w:rFonts w:ascii="方正小标宋简体" w:hAnsi="方正小标宋简体" w:eastAsia="方正小标宋简体" w:cs="方正小标宋简体"/>
          <w:i w:val="0"/>
          <w:caps w:val="0"/>
          <w:color w:val="333333"/>
          <w:spacing w:val="0"/>
          <w:sz w:val="44"/>
          <w:szCs w:val="44"/>
          <w:bdr w:val="none" w:color="auto" w:sz="0" w:space="0"/>
          <w:shd w:val="clear" w:fill="FFFFFF"/>
        </w:rPr>
        <w:t>附录：</w:t>
      </w:r>
      <w:bookmarkStart w:id="0" w:name="_GoBack"/>
      <w:r>
        <w:rPr>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 湖南省土建工程专业高级工程师职称申报评审条件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200" w:afterAutospacing="0" w:line="365" w:lineRule="atLeast"/>
        <w:ind w:left="0" w:right="0" w:firstLine="80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1</w:t>
      </w:r>
      <w:r>
        <w:rPr>
          <w:rFonts w:ascii="仿宋_GB2312" w:hAnsi="Times New Roman" w:eastAsia="仿宋_GB2312" w:cs="仿宋_GB2312"/>
          <w:i w:val="0"/>
          <w:caps w:val="0"/>
          <w:color w:val="333333"/>
          <w:spacing w:val="0"/>
          <w:sz w:val="32"/>
          <w:szCs w:val="32"/>
          <w:bdr w:val="none" w:color="auto" w:sz="0" w:space="0"/>
          <w:shd w:val="clear" w:fill="FFFFFF"/>
        </w:rPr>
        <w:t>．土建工程专业角色界定</w:t>
      </w:r>
    </w:p>
    <w:tbl>
      <w:tblPr>
        <w:tblW w:w="833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67"/>
        <w:gridCol w:w="1667"/>
        <w:gridCol w:w="1667"/>
        <w:gridCol w:w="1667"/>
        <w:gridCol w:w="16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68" w:hRule="atLeast"/>
          <w:jc w:val="center"/>
        </w:trPr>
        <w:tc>
          <w:tcPr>
            <w:tcW w:w="166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专业角色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专业工作</w:t>
            </w:r>
          </w:p>
        </w:tc>
        <w:tc>
          <w:tcPr>
            <w:tcW w:w="16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项目负责人</w:t>
            </w:r>
          </w:p>
        </w:tc>
        <w:tc>
          <w:tcPr>
            <w:tcW w:w="16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技术管理人员</w:t>
            </w:r>
          </w:p>
        </w:tc>
        <w:tc>
          <w:tcPr>
            <w:tcW w:w="16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主要参与人</w:t>
            </w:r>
          </w:p>
        </w:tc>
        <w:tc>
          <w:tcPr>
            <w:tcW w:w="16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主要编制人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22"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科研</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课题总负责人或技术牵头人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子课题技术管理人员或研究人员</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子课题主要研究人员</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981"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设计</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设计总负责人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专业负责人或方案主创人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主要设计人或校审人或注册执业人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81"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施工</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项目经理或技术负责人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专业负责人或专业工程师</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施工员、质量员、安全员等</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标准、规范、图集、工法参编人员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51"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监理</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项目总监</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总监代表或专业监理工程师</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监理工程师</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51"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质量安全监督</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质量安全监督工程师</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64"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工程管理</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技术负责人（项目建设方）</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专业工程师（项目管理方）</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308"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工程造价</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成本控制工程师或造价工程师</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造价审计人或预算文件、可行性研究、造价方案编制人等</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标准、规范、图集参编人员</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785" w:hRule="atLeast"/>
          <w:jc w:val="center"/>
        </w:trPr>
        <w:tc>
          <w:tcPr>
            <w:tcW w:w="1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工程检测</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项目技术负责人</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6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5" w:lineRule="atLeast"/>
        <w:ind w:left="0" w:right="0" w:firstLine="300"/>
        <w:jc w:val="center"/>
        <w:rPr>
          <w:rFonts w:hint="default" w:ascii="Times New Roman" w:hAnsi="Times New Roman" w:cs="Times New Roman"/>
          <w:i w:val="0"/>
          <w:caps w:val="0"/>
          <w:color w:val="333333"/>
          <w:spacing w:val="0"/>
          <w:sz w:val="32"/>
          <w:szCs w:val="32"/>
        </w:rPr>
      </w:pPr>
      <w:r>
        <w:rPr>
          <w:rFonts w:hint="default" w:ascii="Times New Roman" w:hAnsi="Times New Roman" w:cs="Times New Roman"/>
          <w:b/>
          <w:i w:val="0"/>
          <w:caps w:val="0"/>
          <w:color w:val="333333"/>
          <w:spacing w:val="0"/>
          <w:sz w:val="32"/>
          <w:szCs w:val="32"/>
          <w:bdr w:val="none" w:color="auto" w:sz="0" w:space="0"/>
          <w:shd w:val="clear" w:fill="FFFFFF"/>
        </w:rPr>
        <w:t> </w:t>
      </w:r>
      <w:r>
        <w:rPr>
          <w:rFonts w:hint="default" w:ascii="Times New Roman" w:hAnsi="Times New Roman" w:cs="Times New Roman"/>
          <w:i w:val="0"/>
          <w:caps w:val="0"/>
          <w:color w:val="333333"/>
          <w:spacing w:val="0"/>
          <w:sz w:val="28"/>
          <w:szCs w:val="28"/>
          <w:bdr w:val="none" w:color="auto" w:sz="0" w:space="0"/>
          <w:shd w:val="clear" w:fill="FFFFFF"/>
        </w:rPr>
        <w:t> </w:t>
      </w:r>
      <w:r>
        <w:rPr>
          <w:rFonts w:hint="eastAsia" w:ascii="仿宋_GB2312" w:hAnsi="Times New Roman" w:eastAsia="仿宋_GB2312" w:cs="仿宋_GB2312"/>
          <w:i w:val="0"/>
          <w:caps w:val="0"/>
          <w:color w:val="333333"/>
          <w:spacing w:val="0"/>
          <w:sz w:val="28"/>
          <w:szCs w:val="28"/>
          <w:bdr w:val="none" w:color="auto" w:sz="0" w:space="0"/>
          <w:shd w:val="clear" w:fill="FFFFFF"/>
        </w:rPr>
        <w:t>备注：专业角色填写必须与工作成果业绩证明材料相符。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2</w:t>
      </w:r>
      <w:r>
        <w:rPr>
          <w:rFonts w:hint="eastAsia" w:ascii="仿宋_GB2312" w:hAnsi="Times New Roman" w:eastAsia="仿宋_GB2312" w:cs="仿宋_GB2312"/>
          <w:i w:val="0"/>
          <w:caps w:val="0"/>
          <w:color w:val="333333"/>
          <w:spacing w:val="0"/>
          <w:sz w:val="32"/>
          <w:szCs w:val="32"/>
          <w:bdr w:val="none" w:color="auto" w:sz="0" w:space="0"/>
          <w:shd w:val="clear" w:fill="FFFFFF"/>
        </w:rPr>
        <w:t>．个人工作成果及业绩情况证明文件举例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32"/>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sz w:val="28"/>
          <w:szCs w:val="28"/>
          <w:bdr w:val="none" w:color="auto" w:sz="0" w:space="0"/>
          <w:shd w:val="clear" w:fill="FFFFFF"/>
        </w:rPr>
        <w:t>个人工作、成果及业绩情况证明文件应是能有效证明申报人在任职期间工作、成果及业绩的时间、角色和效果的项目技术过程资料。如下表举例：</w:t>
      </w:r>
    </w:p>
    <w:tbl>
      <w:tblPr>
        <w:tblW w:w="875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60"/>
        <w:gridCol w:w="73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65" w:hRule="atLeast"/>
          <w:jc w:val="center"/>
        </w:trPr>
        <w:tc>
          <w:tcPr>
            <w:tcW w:w="134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类别</w:t>
            </w:r>
          </w:p>
        </w:tc>
        <w:tc>
          <w:tcPr>
            <w:tcW w:w="74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业绩证明材料举例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7"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科研课题</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研究报告（结题报告）封面及项目组成人员名单页（或签署页）、课题成果验收证明或鉴定意见书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658"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设  计</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可行性研究或初步设计文件或规划设计文件提供：文件封面及项目组组成人员名单页（或签署页）、主管部门批准文件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房屋建筑工程和市政基础设施工程设计提供：盖有施工图审查机构盖章的施工图设计封面签署页或首页图并提供施工图审查报告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装饰设计或风景园林设计提供：施工图设计封面签署页或首页图、单位（子单位）工程质量竣工验收记录、能证明申报人参与项目建设时间和角色的主要分项工程质量验收记录（部分）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512"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施工、监理建设工程管理</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主持、技术管理人员提供：施工现场质量安全技术管理记录、单位或子单位工程质量竣工验收记录、工程竣工验收备案表、任命文件等。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主要参与人提供：能证明主要参与人参与项目时间和角色的主要分项工程质量验收记录（分部）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27"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造价管理、咨询</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造价文件封面及编制人员签署页、编制说明页、造价汇总页（招投标文件必须为中标）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24"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质量安全监督、工程质量检测</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质量安全监督提供：质量安全监督委派书、质量安全过程监督相关资料或监督报告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工程质量检测提供：工程质量检测委托书、合同书和检测报告封面及签署页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0"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标准编制</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正式出版的标准中主要起草人员名单页或正式出版的标准图签署页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43"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推广应用</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包含推广运用并盖有施工图审查机构审查章的施工图设计文件、包含推广运用的施工验收记录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13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工程建设白蚁防治</w:t>
            </w:r>
          </w:p>
        </w:tc>
        <w:tc>
          <w:tcPr>
            <w:tcW w:w="74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工程合同文书,能证明参与人参与项目的具体方案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5" w:lineRule="atLeast"/>
        <w:ind w:left="0" w:right="0" w:firstLine="64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3</w:t>
      </w:r>
      <w:r>
        <w:rPr>
          <w:rFonts w:hint="eastAsia" w:ascii="仿宋_GB2312" w:hAnsi="Times New Roman" w:eastAsia="仿宋_GB2312" w:cs="仿宋_GB2312"/>
          <w:i w:val="0"/>
          <w:caps w:val="0"/>
          <w:color w:val="333333"/>
          <w:spacing w:val="0"/>
          <w:sz w:val="32"/>
          <w:szCs w:val="32"/>
          <w:bdr w:val="none" w:color="auto" w:sz="0" w:space="0"/>
          <w:shd w:val="clear" w:fill="FFFFFF"/>
        </w:rPr>
        <w:t>．房屋建筑工程规模标准（参考）</w:t>
      </w:r>
    </w:p>
    <w:tbl>
      <w:tblPr>
        <w:tblW w:w="934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8"/>
        <w:gridCol w:w="958"/>
        <w:gridCol w:w="1401"/>
        <w:gridCol w:w="996"/>
        <w:gridCol w:w="1236"/>
        <w:gridCol w:w="1716"/>
        <w:gridCol w:w="936"/>
        <w:gridCol w:w="13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01" w:hRule="atLeast"/>
          <w:jc w:val="center"/>
        </w:trPr>
        <w:tc>
          <w:tcPr>
            <w:tcW w:w="508"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序号</w:t>
            </w:r>
          </w:p>
        </w:tc>
        <w:tc>
          <w:tcPr>
            <w:tcW w:w="1083"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工程类别</w:t>
            </w:r>
          </w:p>
        </w:tc>
        <w:tc>
          <w:tcPr>
            <w:tcW w:w="179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项目名称</w:t>
            </w:r>
          </w:p>
        </w:tc>
        <w:tc>
          <w:tcPr>
            <w:tcW w:w="70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单位</w:t>
            </w:r>
          </w:p>
        </w:tc>
        <w:tc>
          <w:tcPr>
            <w:tcW w:w="3544"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规模</w:t>
            </w:r>
          </w:p>
        </w:tc>
        <w:tc>
          <w:tcPr>
            <w:tcW w:w="170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1" w:hRule="atLeast"/>
          <w:jc w:val="center"/>
        </w:trPr>
        <w:tc>
          <w:tcPr>
            <w:tcW w:w="50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大型</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中型</w:t>
            </w:r>
          </w:p>
        </w:tc>
        <w:tc>
          <w:tcPr>
            <w:tcW w:w="104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小型</w:t>
            </w:r>
          </w:p>
        </w:tc>
        <w:tc>
          <w:tcPr>
            <w:tcW w:w="170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63"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一般房屋建筑工程</w:t>
            </w: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工业、民用与公共建筑工程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层</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&gt;28</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6--28</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25-100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建筑物高度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&gt;36</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15-36</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91"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&gt;30000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5000-30000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单体建筑面积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7"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住宅小区或建筑群体工程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&gt;12</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1--12</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建筑群建筑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75"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其他一般房屋建筑工程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500-10000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2</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高耸构筑物工程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冷却塔及附属工程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&gt;3500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2000-3500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淋水面积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高耸构筑物工程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&gt;120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25-120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7"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其他高耸构筑物工程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500-10000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1"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3</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地基与基础工程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房屋建筑地基与基础工程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层</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&gt;25</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6--25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2"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构筑物地基与基础工程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25-100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建筑物高度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87"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基坑维护工程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&gt;11</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4--11</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≤4</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基坑深度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软弱地基处理工程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&gt;15</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2--15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地基处理深度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72"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其他地基与基础地基</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100-1000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6"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4</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土石方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挖方或填方工程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1"/>
                <w:szCs w:val="21"/>
                <w:bdr w:val="none" w:color="auto" w:sz="0" w:space="0"/>
              </w:rPr>
              <w:t>万m³</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&gt;60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15-60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土石方量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39"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其他挖方或填方工程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&gt;4000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300-4000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95"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5</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园林古建筑工程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仿古建筑工程、园林建筑工程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200-800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单体建筑面积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3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国家级重点文物保护单位的古建筑修缮工程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无</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修缮建筑面积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6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省级重点文物保护单位的古建筑修缮工程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 ㎡</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100-300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修缮建筑面积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94"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其他园林古建筑工程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&gt;2500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250-2500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6</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钢结构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钢结构建筑物或构筑构筑物工程（包括轻钢结构工程）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&gt;33</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10-33</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钢结构跨度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46"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吨</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&gt;1200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100-1200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总重量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7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&gt;24000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6000-24000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单体建筑面积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网架结构的制作安装工程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10-80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网架工程边长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吨</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&gt;350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5-350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总重量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&gt;6000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200-6000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单体建筑面积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其他钢结构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&gt;4000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300-4000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49" w:hRule="atLeast"/>
          <w:jc w:val="center"/>
        </w:trPr>
        <w:tc>
          <w:tcPr>
            <w:tcW w:w="5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7</w:t>
            </w:r>
          </w:p>
        </w:tc>
        <w:tc>
          <w:tcPr>
            <w:tcW w:w="10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建筑防水工程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各类房屋建筑防水工程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50-200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71" w:hRule="atLeast"/>
          <w:jc w:val="center"/>
        </w:trPr>
        <w:tc>
          <w:tcPr>
            <w:tcW w:w="5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8</w:t>
            </w:r>
          </w:p>
        </w:tc>
        <w:tc>
          <w:tcPr>
            <w:tcW w:w="10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防腐保温工程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各类防腐保温工程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&gt;400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50-200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5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9</w:t>
            </w:r>
          </w:p>
        </w:tc>
        <w:tc>
          <w:tcPr>
            <w:tcW w:w="10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附着升架脚手架</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各类附着升降脚手架的设计、制作、安装工程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25-80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1"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10</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金属门窗工程</w:t>
            </w: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铝合金、塑钢等金属门窗工程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层</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&gt;28</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6-28</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≤6</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建筑物层数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4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20-80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建筑物高度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1"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1000-8000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单体建筑面积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15"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&gt;500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100-500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81"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11</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预应力工程</w:t>
            </w: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各类房屋建筑预应力工程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&gt;36</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15-36</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跨度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9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100-800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9"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12</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爆破与拆除工程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大爆破工程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级</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&gt;C</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D-C</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爆破等级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7"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复杂环境深孔爆破、拆除爆破及城市控制爆破及其他爆破拆除工程禽、畜粪便沼气工程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级</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&gt;B</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D-B</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≤D</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爆破等级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45"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m³</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&gt;600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100-600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单池容积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0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厌氧生化处理池工程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m³</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200-800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单池容积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7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火电机组燃煤</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10--30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单机容量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13</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环保工程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烟气脱硫工程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千瓦</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91"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工业及集中供热燃煤锅炉烟气脱硫工程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t/h</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&gt;40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10-40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蒸发量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74"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工业项目（含核工业）噪声、有害气体、粉尘、污水、工业废料的综合处理工程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等级</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大型</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中、小型</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小型以下</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工业项目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4"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医院医疗污水处理工程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等级</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&gt;二等甲级</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一等乙级-二等甲级</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&lt;一等乙级</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医院等级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其他环保工程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300-1000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50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14</w:t>
            </w:r>
          </w:p>
        </w:tc>
        <w:tc>
          <w:tcPr>
            <w:tcW w:w="108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体育场地设施工程</w:t>
            </w: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高尔夫球场、室内外迷你高尔夫球场和练习场工程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公顷</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&gt;55</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25-55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单项工程占地面积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&gt;3200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25-55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≤700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洞</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&gt;18</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9--18</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≤9</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洞数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8"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体育场田径场地设施工程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万人</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&gt;5</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0.5-5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≤0.5</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容纳人数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&gt;1000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0.5-5</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≤450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05"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体育馆（包括游泳馆、冬季项目馆）设施工程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人</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&gt;5000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300-5000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容纳人数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合成面层网球、篮球、排球场地设施工程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&gt;7000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3000-7000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≤3000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容纳人数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50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08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其他体育场地设施工程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&gt;800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150-800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≤150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18" w:hRule="atLeast"/>
          <w:jc w:val="center"/>
        </w:trPr>
        <w:tc>
          <w:tcPr>
            <w:tcW w:w="5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15</w:t>
            </w:r>
          </w:p>
        </w:tc>
        <w:tc>
          <w:tcPr>
            <w:tcW w:w="10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特种作业工程</w:t>
            </w:r>
          </w:p>
        </w:tc>
        <w:tc>
          <w:tcPr>
            <w:tcW w:w="179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建筑物纠偏和平移、结构补强、特殊设备的起重吊装、特种防雷技术等工程</w:t>
            </w:r>
          </w:p>
        </w:tc>
        <w:tc>
          <w:tcPr>
            <w:tcW w:w="7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万元</w:t>
            </w:r>
          </w:p>
        </w:tc>
        <w:tc>
          <w:tcPr>
            <w:tcW w:w="10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&gt;500</w:t>
            </w:r>
          </w:p>
        </w:tc>
        <w:tc>
          <w:tcPr>
            <w:tcW w:w="14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100-500</w:t>
            </w:r>
          </w:p>
        </w:tc>
        <w:tc>
          <w:tcPr>
            <w:tcW w:w="104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≤100</w:t>
            </w:r>
          </w:p>
        </w:tc>
        <w:tc>
          <w:tcPr>
            <w:tcW w:w="17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合同额</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5" w:lineRule="atLeast"/>
        <w:ind w:left="0" w:right="0" w:firstLine="64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4.</w:t>
      </w:r>
      <w:r>
        <w:rPr>
          <w:rFonts w:hint="eastAsia" w:ascii="仿宋_GB2312" w:hAnsi="Times New Roman" w:eastAsia="仿宋_GB2312" w:cs="仿宋_GB2312"/>
          <w:i w:val="0"/>
          <w:caps w:val="0"/>
          <w:color w:val="333333"/>
          <w:spacing w:val="0"/>
          <w:sz w:val="32"/>
          <w:szCs w:val="32"/>
          <w:bdr w:val="none" w:color="auto" w:sz="0" w:space="0"/>
          <w:shd w:val="clear" w:fill="FFFFFF"/>
        </w:rPr>
        <w:t>一般房屋建筑工程安全管理和监督工程规模标准（参考）</w:t>
      </w:r>
    </w:p>
    <w:tbl>
      <w:tblPr>
        <w:tblW w:w="9240" w:type="dxa"/>
        <w:jc w:val="center"/>
        <w:shd w:val="clear"/>
        <w:tblLayout w:type="autofit"/>
        <w:tblCellMar>
          <w:top w:w="15" w:type="dxa"/>
          <w:left w:w="15" w:type="dxa"/>
          <w:bottom w:w="15" w:type="dxa"/>
          <w:right w:w="15" w:type="dxa"/>
        </w:tblCellMar>
      </w:tblPr>
      <w:tblGrid>
        <w:gridCol w:w="800"/>
        <w:gridCol w:w="870"/>
        <w:gridCol w:w="3316"/>
        <w:gridCol w:w="3440"/>
        <w:gridCol w:w="814"/>
      </w:tblGrid>
      <w:tr>
        <w:tblPrEx>
          <w:shd w:val="clear"/>
          <w:tblCellMar>
            <w:top w:w="15" w:type="dxa"/>
            <w:left w:w="15" w:type="dxa"/>
            <w:bottom w:w="15" w:type="dxa"/>
            <w:right w:w="15" w:type="dxa"/>
          </w:tblCellMar>
        </w:tblPrEx>
        <w:trPr>
          <w:trHeight w:val="627" w:hRule="atLeast"/>
          <w:jc w:val="center"/>
        </w:trPr>
        <w:tc>
          <w:tcPr>
            <w:tcW w:w="812" w:type="dxa"/>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名称</w:t>
            </w:r>
          </w:p>
        </w:tc>
        <w:tc>
          <w:tcPr>
            <w:tcW w:w="613" w:type="dxa"/>
            <w:vMerge w:val="restart"/>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单位</w:t>
            </w:r>
          </w:p>
        </w:tc>
        <w:tc>
          <w:tcPr>
            <w:tcW w:w="6990" w:type="dxa"/>
            <w:gridSpan w:val="2"/>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规模</w:t>
            </w:r>
          </w:p>
        </w:tc>
        <w:tc>
          <w:tcPr>
            <w:tcW w:w="825" w:type="dxa"/>
            <w:vMerge w:val="restart"/>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备注</w:t>
            </w:r>
          </w:p>
        </w:tc>
      </w:tr>
      <w:tr>
        <w:tblPrEx>
          <w:shd w:val="clear"/>
          <w:tblCellMar>
            <w:top w:w="15" w:type="dxa"/>
            <w:left w:w="15" w:type="dxa"/>
            <w:bottom w:w="15" w:type="dxa"/>
            <w:right w:w="15" w:type="dxa"/>
          </w:tblCellMar>
        </w:tblPrEx>
        <w:trPr>
          <w:trHeight w:val="679" w:hRule="atLeast"/>
          <w:jc w:val="center"/>
        </w:trPr>
        <w:tc>
          <w:tcPr>
            <w:tcW w:w="812"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613"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一般</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超规模</w:t>
            </w:r>
          </w:p>
        </w:tc>
        <w:tc>
          <w:tcPr>
            <w:tcW w:w="825"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r>
      <w:tr>
        <w:tblPrEx>
          <w:shd w:val="clear"/>
          <w:tblCellMar>
            <w:top w:w="15" w:type="dxa"/>
            <w:left w:w="15" w:type="dxa"/>
            <w:bottom w:w="15" w:type="dxa"/>
            <w:right w:w="15" w:type="dxa"/>
          </w:tblCellMar>
        </w:tblPrEx>
        <w:trPr>
          <w:trHeight w:val="3950"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基坑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（一）开挖深度超过3m（含3m）的基坑（槽）的土方开挖、支护、降水工程。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（二）开挖深度虽未超过3m，但地质条件、周围环境和地下管线复杂，或影响毗邻建、构筑物安全的基坑（槽）的土方开挖、支护、降水工程。</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开挖深度超过5m（含5m）的基坑（槽）的土方开挖、支护、降水工程。</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基坑深度或边坡高度</w:t>
            </w:r>
          </w:p>
        </w:tc>
      </w:tr>
      <w:tr>
        <w:tblPrEx>
          <w:shd w:val="clear"/>
          <w:tblCellMar>
            <w:top w:w="15" w:type="dxa"/>
            <w:left w:w="15" w:type="dxa"/>
            <w:bottom w:w="15" w:type="dxa"/>
            <w:right w:w="15" w:type="dxa"/>
          </w:tblCellMar>
        </w:tblPrEx>
        <w:trPr>
          <w:trHeight w:val="5465"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模板工程及支撑体系</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m、kN/m2、15kN/m</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（一）各类工具式模板工程：包括滑模、爬模、飞模、隧道模等工程。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混凝土模板支撑工程：搭设高度5m及以上，或搭设跨度10m及以上，或施工总荷载（荷载效应基本组合的设计值，以下简称设计值）10kN/㎡及以上，或集中线荷载（设计值）15kN/m及以上，或高度大于支撑水平投影宽度且相对独立无联系构件的混凝土模板支撑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（三）承重支撑体系：用于钢结构安装等满堂支撑体系。</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（一）各类工具式模板工程：包括滑模、爬模、飞模、隧道模等工程。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（二）混凝土模板支撑工程：搭设高度8m及以上，或搭设跨度18m及以上，或施工总荷载（设计值）15kN/㎡及以上，或集中线荷载（设计值）20kN/m及以上。</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（三）承重支撑体系：用于钢结构安装等满堂支撑体系，承受单点集中荷载7kN及以上。</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搭设高度或跨度、荷载</w:t>
            </w:r>
          </w:p>
        </w:tc>
      </w:tr>
      <w:tr>
        <w:tblPrEx>
          <w:shd w:val="clear"/>
          <w:tblCellMar>
            <w:top w:w="15" w:type="dxa"/>
            <w:left w:w="15" w:type="dxa"/>
            <w:bottom w:w="15" w:type="dxa"/>
            <w:right w:w="15" w:type="dxa"/>
          </w:tblCellMar>
        </w:tblPrEx>
        <w:trPr>
          <w:trHeight w:val="2810"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起重吊装及起重机械安装拆卸工程</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kN、m</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（一）采用非常规起重设备、方法，且单件起吊重量在10kN及以上的起重吊装工程。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（二）采用起重机械进行安装的工程。</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（一）采用非常规起重设备、方法，且单件起吊重量在100kN及以上的起重吊装工程。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（二）起重量300kN及以上，或搭设总高度200m及以上，或搭设基础标高在200m及以上的起重机械安装和拆卸工程。</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吊装起重量、安装拆卸高度</w:t>
            </w:r>
          </w:p>
        </w:tc>
      </w:tr>
      <w:tr>
        <w:tblPrEx>
          <w:shd w:val="clear"/>
          <w:tblCellMar>
            <w:top w:w="15" w:type="dxa"/>
            <w:left w:w="15" w:type="dxa"/>
            <w:bottom w:w="15" w:type="dxa"/>
            <w:right w:w="15" w:type="dxa"/>
          </w:tblCellMar>
        </w:tblPrEx>
        <w:trPr>
          <w:trHeight w:val="3284"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脚手架工程</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（一）搭设高度24m及以上的落地式钢管脚手架工程（包括采光井、电梯井脚手架）。</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（二）附着式升降脚手架工程。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（三）悬挑式脚手架工程。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（四）高处作业吊篮。</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（五）卸料平台、操作平台工程。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（六）异型脚手架工程。</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（一）搭设高度50m及以上的落地式钢管脚手架工程。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（二）提升高度在150m及以上的附着式升降脚手架工程或附着式升降操作平台工程。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（三）分段架体搭设高度20m及以上的悬挑式脚手架工程。</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搭设高度</w:t>
            </w:r>
          </w:p>
        </w:tc>
      </w:tr>
      <w:tr>
        <w:tblPrEx>
          <w:shd w:val="clear"/>
          <w:tblCellMar>
            <w:top w:w="15" w:type="dxa"/>
            <w:left w:w="15" w:type="dxa"/>
            <w:bottom w:w="15" w:type="dxa"/>
            <w:right w:w="15" w:type="dxa"/>
          </w:tblCellMar>
        </w:tblPrEx>
        <w:trPr>
          <w:trHeight w:val="980"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暗挖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采用矿山法、盾构法、顶管法施工的隧道、洞室工程。</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采用矿山法、盾构法、顶管法施工的隧道、洞室工程。</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4980" w:hRule="atLeast"/>
          <w:jc w:val="center"/>
        </w:trPr>
        <w:tc>
          <w:tcPr>
            <w:tcW w:w="81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其它</w:t>
            </w:r>
          </w:p>
        </w:tc>
        <w:tc>
          <w:tcPr>
            <w:tcW w:w="61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m、kn</w:t>
            </w:r>
          </w:p>
        </w:tc>
        <w:tc>
          <w:tcPr>
            <w:tcW w:w="34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（一）建筑幕墙安装工程。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（二）钢结构、网架和索膜结构安装工程。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（三）人工挖孔桩工程。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（四）水下作业工程。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（五）装配式建筑混凝土预制构件安装工程。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（六）采用新技术、新工艺、新材料、新设备可能影响工程施工安全，尚无国家、行业及地方技术标准的分部分项工程。</w:t>
            </w:r>
          </w:p>
        </w:tc>
        <w:tc>
          <w:tcPr>
            <w:tcW w:w="356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（一）施工高度50m及以上的建筑幕墙安装工程。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（二）跨度36m及以上的钢结构安装工程，或跨度60m及以上的网架和索膜结构安装工程。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（三）开挖深度16m及以上的人工挖孔桩工程。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（四）水下作业工程。</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（五）重量1000kN及以上的大型结构整体顶升、平移、转体等施工工艺。</w:t>
            </w:r>
            <w:r>
              <w:rPr>
                <w:rFonts w:hint="eastAsia" w:ascii="宋体" w:hAnsi="宋体" w:eastAsia="宋体" w:cs="宋体"/>
                <w:color w:val="333333"/>
                <w:sz w:val="24"/>
                <w:szCs w:val="24"/>
                <w:bdr w:val="none" w:color="auto" w:sz="0" w:space="0"/>
              </w:rPr>
              <w:br w:type="textWrapping"/>
            </w:r>
            <w:r>
              <w:rPr>
                <w:rFonts w:hint="eastAsia" w:ascii="宋体" w:hAnsi="宋体" w:eastAsia="宋体" w:cs="宋体"/>
                <w:color w:val="333333"/>
                <w:sz w:val="24"/>
                <w:szCs w:val="24"/>
                <w:bdr w:val="none" w:color="auto" w:sz="0" w:space="0"/>
              </w:rPr>
              <w:t>（六）采用新技术、新工艺、新材料、新设备可能影响工程施工安全，尚无国家、行业及地方技术标准的分部分项工程。</w:t>
            </w:r>
          </w:p>
        </w:tc>
        <w:tc>
          <w:tcPr>
            <w:tcW w:w="82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安装高度或跨度、开挖深度、重量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5" w:lineRule="atLeast"/>
        <w:ind w:left="0" w:right="0" w:firstLine="64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5</w:t>
      </w:r>
      <w:r>
        <w:rPr>
          <w:rFonts w:hint="eastAsia" w:ascii="仿宋_GB2312" w:hAnsi="Times New Roman" w:eastAsia="仿宋_GB2312" w:cs="仿宋_GB2312"/>
          <w:i w:val="0"/>
          <w:caps w:val="0"/>
          <w:color w:val="333333"/>
          <w:spacing w:val="0"/>
          <w:sz w:val="32"/>
          <w:szCs w:val="32"/>
          <w:bdr w:val="none" w:color="auto" w:sz="0" w:space="0"/>
          <w:shd w:val="clear" w:fill="FFFFFF"/>
        </w:rPr>
        <w:t>．市政公用工程规模分级标准（参考）</w:t>
      </w:r>
    </w:p>
    <w:tbl>
      <w:tblPr>
        <w:tblW w:w="9073" w:type="dxa"/>
        <w:jc w:val="center"/>
        <w:shd w:val="clear"/>
        <w:tblLayout w:type="autofit"/>
        <w:tblCellMar>
          <w:top w:w="15" w:type="dxa"/>
          <w:left w:w="15" w:type="dxa"/>
          <w:bottom w:w="15" w:type="dxa"/>
          <w:right w:w="15" w:type="dxa"/>
        </w:tblCellMar>
      </w:tblPr>
      <w:tblGrid>
        <w:gridCol w:w="572"/>
        <w:gridCol w:w="571"/>
        <w:gridCol w:w="983"/>
        <w:gridCol w:w="1816"/>
        <w:gridCol w:w="2106"/>
        <w:gridCol w:w="1638"/>
        <w:gridCol w:w="1387"/>
      </w:tblGrid>
      <w:tr>
        <w:tblPrEx>
          <w:shd w:val="clear"/>
          <w:tblCellMar>
            <w:top w:w="15" w:type="dxa"/>
            <w:left w:w="15" w:type="dxa"/>
            <w:bottom w:w="15" w:type="dxa"/>
            <w:right w:w="15" w:type="dxa"/>
          </w:tblCellMar>
        </w:tblPrEx>
        <w:trPr>
          <w:trHeight w:val="408" w:hRule="atLeast"/>
          <w:jc w:val="center"/>
        </w:trPr>
        <w:tc>
          <w:tcPr>
            <w:tcW w:w="426" w:type="dxa"/>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序号</w:t>
            </w:r>
          </w:p>
        </w:tc>
        <w:tc>
          <w:tcPr>
            <w:tcW w:w="567" w:type="dxa"/>
            <w:vMerge w:val="restart"/>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工程类别</w:t>
            </w:r>
          </w:p>
        </w:tc>
        <w:tc>
          <w:tcPr>
            <w:tcW w:w="992" w:type="dxa"/>
            <w:vMerge w:val="restart"/>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项目名称</w:t>
            </w:r>
          </w:p>
        </w:tc>
        <w:tc>
          <w:tcPr>
            <w:tcW w:w="5670" w:type="dxa"/>
            <w:gridSpan w:val="3"/>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规模</w:t>
            </w:r>
          </w:p>
        </w:tc>
        <w:tc>
          <w:tcPr>
            <w:tcW w:w="141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备注</w:t>
            </w:r>
          </w:p>
        </w:tc>
      </w:tr>
      <w:tr>
        <w:tblPrEx>
          <w:shd w:val="clear"/>
          <w:tblCellMar>
            <w:top w:w="15" w:type="dxa"/>
            <w:left w:w="15" w:type="dxa"/>
            <w:bottom w:w="15" w:type="dxa"/>
            <w:right w:w="15" w:type="dxa"/>
          </w:tblCellMar>
        </w:tblPrEx>
        <w:trPr>
          <w:trHeight w:val="380" w:hRule="atLeast"/>
          <w:jc w:val="center"/>
        </w:trPr>
        <w:tc>
          <w:tcPr>
            <w:tcW w:w="426"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vMerge w:val="continue"/>
            <w:tcBorders>
              <w:top w:val="single" w:color="000000" w:sz="8" w:space="0"/>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大型</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中型</w:t>
            </w:r>
          </w:p>
        </w:tc>
        <w:tc>
          <w:tcPr>
            <w:tcW w:w="1672"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小型</w:t>
            </w:r>
          </w:p>
        </w:tc>
        <w:tc>
          <w:tcPr>
            <w:tcW w:w="141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1634"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城市道路</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路基工程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城市快速路、主干道路基工程</w:t>
            </w:r>
            <w:r>
              <w:rPr>
                <w:rFonts w:hint="eastAsia" w:ascii="宋体" w:hAnsi="宋体" w:eastAsia="宋体" w:cs="宋体"/>
                <w:color w:val="000000"/>
                <w:sz w:val="24"/>
                <w:szCs w:val="24"/>
                <w:bdr w:val="none" w:color="auto" w:sz="0" w:space="0"/>
              </w:rPr>
              <w:t>≥5千米，单项工程合同额≥8000万元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城市快速路、主（次）干道路基工程2</w:t>
            </w:r>
            <w:r>
              <w:rPr>
                <w:rFonts w:hint="eastAsia" w:ascii="宋体" w:hAnsi="宋体" w:eastAsia="宋体" w:cs="宋体"/>
                <w:color w:val="000000"/>
                <w:sz w:val="24"/>
                <w:szCs w:val="24"/>
                <w:bdr w:val="none" w:color="auto" w:sz="0" w:space="0"/>
              </w:rPr>
              <w:t>∽5千米，单项工程合同额5000∽8000万元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城市快速路、次干道路基工程&lt;2千米，单项工程合同额&lt;5000万元</w:t>
            </w:r>
          </w:p>
        </w:tc>
        <w:tc>
          <w:tcPr>
            <w:tcW w:w="1418"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含城市快速路、城市环路，不含城际间公路</w:t>
            </w:r>
          </w:p>
        </w:tc>
      </w:tr>
      <w:tr>
        <w:tblPrEx>
          <w:tblCellMar>
            <w:top w:w="15" w:type="dxa"/>
            <w:left w:w="15" w:type="dxa"/>
            <w:bottom w:w="15" w:type="dxa"/>
            <w:right w:w="15" w:type="dxa"/>
          </w:tblCellMar>
        </w:tblPrEx>
        <w:trPr>
          <w:trHeight w:val="1419"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路面工程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高等级路面</w:t>
            </w:r>
            <w:r>
              <w:rPr>
                <w:rFonts w:hint="eastAsia" w:ascii="宋体" w:hAnsi="宋体" w:eastAsia="宋体" w:cs="宋体"/>
                <w:color w:val="000000"/>
                <w:sz w:val="24"/>
                <w:szCs w:val="24"/>
                <w:bdr w:val="none" w:color="auto" w:sz="0" w:space="0"/>
              </w:rPr>
              <w:t>≥10万平方米，单项工程合同额≥8000万元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高等级路面5</w:t>
            </w:r>
            <w:r>
              <w:rPr>
                <w:rFonts w:hint="eastAsia" w:ascii="宋体" w:hAnsi="宋体" w:eastAsia="宋体" w:cs="宋体"/>
                <w:color w:val="000000"/>
                <w:sz w:val="24"/>
                <w:szCs w:val="24"/>
                <w:bdr w:val="none" w:color="auto" w:sz="0" w:space="0"/>
              </w:rPr>
              <w:t>∽10万平方米，单项工程合同额5000∽8000万元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次高等级路面，单项工程合同额&lt;5000万元</w:t>
            </w:r>
          </w:p>
        </w:tc>
        <w:tc>
          <w:tcPr>
            <w:tcW w:w="1418"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r>
      <w:tr>
        <w:tblPrEx>
          <w:shd w:val="clear"/>
          <w:tblCellMar>
            <w:top w:w="15" w:type="dxa"/>
            <w:left w:w="15" w:type="dxa"/>
            <w:bottom w:w="15" w:type="dxa"/>
            <w:right w:w="15" w:type="dxa"/>
          </w:tblCellMar>
        </w:tblPrEx>
        <w:trPr>
          <w:trHeight w:val="1541" w:hRule="atLeast"/>
          <w:jc w:val="center"/>
        </w:trPr>
        <w:tc>
          <w:tcPr>
            <w:tcW w:w="426"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2</w:t>
            </w:r>
          </w:p>
        </w:tc>
        <w:tc>
          <w:tcPr>
            <w:tcW w:w="56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城市公共广场</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广场工程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广场面积</w:t>
            </w:r>
            <w:r>
              <w:rPr>
                <w:rFonts w:hint="eastAsia" w:ascii="宋体" w:hAnsi="宋体" w:eastAsia="宋体" w:cs="宋体"/>
                <w:color w:val="000000"/>
                <w:sz w:val="24"/>
                <w:szCs w:val="24"/>
                <w:bdr w:val="none" w:color="auto" w:sz="0" w:space="0"/>
              </w:rPr>
              <w:t>≥5万平方米，单项工程合同额≥5000万元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广场面积2∽5万平方米，单项工程合同额3000∽5000万元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含体育场</w:t>
            </w:r>
          </w:p>
        </w:tc>
      </w:tr>
      <w:tr>
        <w:tblPrEx>
          <w:shd w:val="clear"/>
          <w:tblCellMar>
            <w:top w:w="15" w:type="dxa"/>
            <w:left w:w="15" w:type="dxa"/>
            <w:bottom w:w="15" w:type="dxa"/>
            <w:right w:w="15" w:type="dxa"/>
          </w:tblCellMar>
        </w:tblPrEx>
        <w:trPr>
          <w:trHeight w:val="1091" w:hRule="atLeast"/>
          <w:jc w:val="center"/>
        </w:trPr>
        <w:tc>
          <w:tcPr>
            <w:tcW w:w="426"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3</w:t>
            </w:r>
          </w:p>
        </w:tc>
        <w:tc>
          <w:tcPr>
            <w:tcW w:w="56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城市桥梁</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桥梁工程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w:t>
            </w:r>
            <w:r>
              <w:rPr>
                <w:rFonts w:hint="eastAsia" w:ascii="宋体" w:hAnsi="宋体" w:eastAsia="宋体" w:cs="宋体"/>
                <w:color w:val="000000"/>
                <w:sz w:val="24"/>
                <w:szCs w:val="24"/>
                <w:bdr w:val="none" w:color="auto" w:sz="0" w:space="0"/>
              </w:rPr>
              <w:t>≥40米，单项工程合同额≥5000万元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单跨跨度20∽40米，单项工程合同额3000∽5000万元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单跨跨度&lt;20米，单项工程合同额&lt;3000万元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含过街天桥</w:t>
            </w:r>
          </w:p>
        </w:tc>
      </w:tr>
      <w:tr>
        <w:tblPrEx>
          <w:shd w:val="clear"/>
          <w:tblCellMar>
            <w:top w:w="15" w:type="dxa"/>
            <w:left w:w="15" w:type="dxa"/>
            <w:bottom w:w="15" w:type="dxa"/>
            <w:right w:w="15" w:type="dxa"/>
          </w:tblCellMar>
        </w:tblPrEx>
        <w:trPr>
          <w:trHeight w:val="1595"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4</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地下交通</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隧道工程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内径（宽或高）</w:t>
            </w:r>
            <w:r>
              <w:rPr>
                <w:rFonts w:hint="eastAsia" w:ascii="宋体" w:hAnsi="宋体" w:eastAsia="宋体" w:cs="宋体"/>
                <w:color w:val="000000"/>
                <w:sz w:val="24"/>
                <w:szCs w:val="24"/>
                <w:bdr w:val="none" w:color="auto" w:sz="0" w:space="0"/>
              </w:rPr>
              <w:t>≥5米或单洞洞长≥1000米，单项工程合同额≥10000万元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内径（宽或高）3∽5米，单项工程合同额5000∽10000万元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内径（宽或高）&lt;3米，单项工程合同额&lt;5000万元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含地下过街通道，小型工程不含盾构施工</w:t>
            </w:r>
          </w:p>
        </w:tc>
      </w:tr>
      <w:tr>
        <w:tblPrEx>
          <w:shd w:val="clear"/>
          <w:tblCellMar>
            <w:top w:w="15" w:type="dxa"/>
            <w:left w:w="15" w:type="dxa"/>
            <w:bottom w:w="15" w:type="dxa"/>
            <w:right w:w="15" w:type="dxa"/>
          </w:tblCellMar>
        </w:tblPrEx>
        <w:trPr>
          <w:trHeight w:val="798"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车站工程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w:t>
            </w:r>
            <w:r>
              <w:rPr>
                <w:rFonts w:hint="eastAsia" w:ascii="宋体" w:hAnsi="宋体" w:eastAsia="宋体" w:cs="宋体"/>
                <w:color w:val="000000"/>
                <w:sz w:val="24"/>
                <w:szCs w:val="24"/>
                <w:bdr w:val="none" w:color="auto" w:sz="0" w:space="0"/>
              </w:rPr>
              <w:t>≥</w:t>
            </w:r>
            <w:r>
              <w:rPr>
                <w:rFonts w:hint="eastAsia" w:ascii="宋体" w:hAnsi="宋体" w:eastAsia="宋体" w:cs="宋体"/>
                <w:color w:val="333333"/>
                <w:sz w:val="24"/>
                <w:szCs w:val="24"/>
                <w:bdr w:val="none" w:color="auto" w:sz="0" w:space="0"/>
              </w:rPr>
              <w:t>10000万元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单项工程合同额&lt;10000万元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小型工程不含车站工程</w:t>
            </w:r>
          </w:p>
        </w:tc>
      </w:tr>
      <w:tr>
        <w:tblPrEx>
          <w:shd w:val="clear"/>
          <w:tblCellMar>
            <w:top w:w="15" w:type="dxa"/>
            <w:left w:w="15" w:type="dxa"/>
            <w:bottom w:w="15" w:type="dxa"/>
            <w:right w:w="15" w:type="dxa"/>
          </w:tblCellMar>
        </w:tblPrEx>
        <w:trPr>
          <w:trHeight w:val="1035"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5</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城市供水</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供水厂</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w:t>
            </w:r>
            <w:r>
              <w:rPr>
                <w:rFonts w:hint="eastAsia" w:ascii="宋体" w:hAnsi="宋体" w:eastAsia="宋体" w:cs="宋体"/>
                <w:color w:val="000000"/>
                <w:sz w:val="24"/>
                <w:szCs w:val="24"/>
                <w:bdr w:val="none" w:color="auto" w:sz="0" w:space="0"/>
              </w:rPr>
              <w:t>≥</w:t>
            </w:r>
            <w:r>
              <w:rPr>
                <w:rFonts w:hint="eastAsia" w:ascii="宋体" w:hAnsi="宋体" w:eastAsia="宋体" w:cs="宋体"/>
                <w:color w:val="333333"/>
                <w:sz w:val="24"/>
                <w:szCs w:val="24"/>
                <w:bdr w:val="none" w:color="auto" w:sz="0" w:space="0"/>
              </w:rPr>
              <w:t>5万吨，单项工程合同额</w:t>
            </w:r>
            <w:r>
              <w:rPr>
                <w:rFonts w:hint="eastAsia" w:ascii="宋体" w:hAnsi="宋体" w:eastAsia="宋体" w:cs="宋体"/>
                <w:color w:val="000000"/>
                <w:sz w:val="24"/>
                <w:szCs w:val="24"/>
                <w:bdr w:val="none" w:color="auto" w:sz="0" w:space="0"/>
              </w:rPr>
              <w:t>≥</w:t>
            </w:r>
            <w:r>
              <w:rPr>
                <w:rFonts w:hint="eastAsia" w:ascii="宋体" w:hAnsi="宋体" w:eastAsia="宋体" w:cs="宋体"/>
                <w:color w:val="333333"/>
                <w:sz w:val="24"/>
                <w:szCs w:val="24"/>
                <w:bdr w:val="none" w:color="auto" w:sz="0" w:space="0"/>
              </w:rPr>
              <w:t>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日处理量3∽5万吨，单项工程合同额3000∽5000万元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日处理量&lt;3万吨，单项工程合同额&lt;3000万元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含中水工程，加压站工程</w:t>
            </w:r>
          </w:p>
        </w:tc>
      </w:tr>
      <w:tr>
        <w:tblPrEx>
          <w:shd w:val="clear"/>
          <w:tblCellMar>
            <w:top w:w="15" w:type="dxa"/>
            <w:left w:w="15" w:type="dxa"/>
            <w:bottom w:w="15" w:type="dxa"/>
            <w:right w:w="15" w:type="dxa"/>
          </w:tblCellMar>
        </w:tblPrEx>
        <w:trPr>
          <w:trHeight w:val="750"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供水通道</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管径≥1.5米，单项工程合同额≥5000万元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管径0.8∽1.5米，单项工程合同额3000∽5000万元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管径&lt;0.8米，单项工程合同额&lt;3000万元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含中水工程，本表中的管径为公称直径DN</w:t>
            </w:r>
          </w:p>
        </w:tc>
      </w:tr>
      <w:tr>
        <w:tblPrEx>
          <w:tblCellMar>
            <w:top w:w="15" w:type="dxa"/>
            <w:left w:w="15" w:type="dxa"/>
            <w:bottom w:w="15" w:type="dxa"/>
            <w:right w:w="15" w:type="dxa"/>
          </w:tblCellMar>
        </w:tblPrEx>
        <w:trPr>
          <w:trHeight w:val="1037"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6</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城市排水</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污水处理厂</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日处理量≥5万吨，单项工程合同额≥5000万元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日处理量3∽5万吨，单项工程合同额3000∽5000万元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日处理量&lt;3万吨，单项工程合同额&lt;3000万元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含泵站</w:t>
            </w:r>
          </w:p>
        </w:tc>
      </w:tr>
      <w:tr>
        <w:tblPrEx>
          <w:shd w:val="clear"/>
          <w:tblCellMar>
            <w:top w:w="15" w:type="dxa"/>
            <w:left w:w="15" w:type="dxa"/>
            <w:bottom w:w="15" w:type="dxa"/>
            <w:right w:w="15" w:type="dxa"/>
          </w:tblCellMar>
        </w:tblPrEx>
        <w:trPr>
          <w:trHeight w:val="1080"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排水管道工程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管径≥1.5米，单项工程合同额≥5000万元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管径0.8∽1.5米，单项工程合同额3000-5000万元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管径&lt;0.8米，单项工程合同额&lt;3000万元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含小型泵站，本表中的管径为公称直径DN</w:t>
            </w:r>
          </w:p>
        </w:tc>
      </w:tr>
      <w:tr>
        <w:tblPrEx>
          <w:shd w:val="clear"/>
          <w:tblCellMar>
            <w:top w:w="15" w:type="dxa"/>
            <w:left w:w="15" w:type="dxa"/>
            <w:bottom w:w="15" w:type="dxa"/>
            <w:right w:w="15" w:type="dxa"/>
          </w:tblCellMar>
        </w:tblPrEx>
        <w:trPr>
          <w:trHeight w:val="1329"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7</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城市供气</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燃气源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日产气量</w:t>
            </w:r>
            <w:r>
              <w:rPr>
                <w:rFonts w:hint="eastAsia" w:ascii="宋体" w:hAnsi="宋体" w:eastAsia="宋体" w:cs="宋体"/>
                <w:color w:val="000000"/>
                <w:sz w:val="24"/>
                <w:szCs w:val="24"/>
                <w:bdr w:val="none" w:color="auto" w:sz="0" w:space="0"/>
              </w:rPr>
              <w:t>≥30万立方米，单项工程合同额≥5000万元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日产气量10</w:t>
            </w:r>
            <w:r>
              <w:rPr>
                <w:rFonts w:hint="eastAsia" w:ascii="宋体" w:hAnsi="宋体" w:eastAsia="宋体" w:cs="宋体"/>
                <w:color w:val="000000"/>
                <w:sz w:val="24"/>
                <w:szCs w:val="24"/>
                <w:bdr w:val="none" w:color="auto" w:sz="0" w:space="0"/>
              </w:rPr>
              <w:t>∽30万立方米，单项工程合同额3000∽5000万元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日产气量&lt;10万立方米，单项工程合同额&lt;3000万元</w:t>
            </w:r>
          </w:p>
        </w:tc>
        <w:tc>
          <w:tcPr>
            <w:tcW w:w="1418"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1147"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燃气管道工程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高压以上管道，单项工程合同额</w:t>
            </w:r>
            <w:r>
              <w:rPr>
                <w:rFonts w:hint="eastAsia" w:ascii="宋体" w:hAnsi="宋体" w:eastAsia="宋体" w:cs="宋体"/>
                <w:color w:val="000000"/>
                <w:sz w:val="24"/>
                <w:szCs w:val="24"/>
                <w:bdr w:val="none" w:color="auto" w:sz="0" w:space="0"/>
              </w:rPr>
              <w:t>≥5000万元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次高压管道，单项工程合同额3000</w:t>
            </w:r>
            <w:r>
              <w:rPr>
                <w:rFonts w:hint="eastAsia" w:ascii="宋体" w:hAnsi="宋体" w:eastAsia="宋体" w:cs="宋体"/>
                <w:color w:val="000000"/>
                <w:sz w:val="24"/>
                <w:szCs w:val="24"/>
                <w:bdr w:val="none" w:color="auto" w:sz="0" w:space="0"/>
              </w:rPr>
              <w:t>∽5000万元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中压以下管道，单项工程合同额&lt;3000万元</w:t>
            </w:r>
          </w:p>
        </w:tc>
        <w:tc>
          <w:tcPr>
            <w:tcW w:w="1418"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r>
      <w:tr>
        <w:tblPrEx>
          <w:shd w:val="clear"/>
          <w:tblCellMar>
            <w:top w:w="15" w:type="dxa"/>
            <w:left w:w="15" w:type="dxa"/>
            <w:bottom w:w="15" w:type="dxa"/>
            <w:right w:w="15" w:type="dxa"/>
          </w:tblCellMar>
        </w:tblPrEx>
        <w:trPr>
          <w:trHeight w:val="3998"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储备厂（站）工程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设计压力&gt;2.5兆帕或总贮存容积&gt;1000立方米的液化石油气或&gt;400立方米的液化天然气贮罐厂（站）或供气规模&gt;15万立方米/日的燃气工程，单项合同额</w:t>
            </w:r>
            <w:r>
              <w:rPr>
                <w:rFonts w:hint="eastAsia" w:ascii="宋体" w:hAnsi="宋体" w:eastAsia="宋体" w:cs="宋体"/>
                <w:color w:val="000000"/>
                <w:sz w:val="24"/>
                <w:szCs w:val="24"/>
                <w:bdr w:val="none" w:color="auto" w:sz="0" w:space="0"/>
              </w:rPr>
              <w:t>≥5000万元的工程</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设计压力2.0</w:t>
            </w:r>
            <w:r>
              <w:rPr>
                <w:rFonts w:hint="eastAsia" w:ascii="宋体" w:hAnsi="宋体" w:eastAsia="宋体" w:cs="宋体"/>
                <w:color w:val="000000"/>
                <w:sz w:val="24"/>
                <w:szCs w:val="24"/>
                <w:bdr w:val="none" w:color="auto" w:sz="0" w:space="0"/>
              </w:rPr>
              <w:t>∽2.5兆帕或总贮存容积500∽1000立方米的液化石油气或200∽400立方米的液化天然气贮罐厂（站）或供气规模5∽15万立方米/日的燃气工程，单项合同额3000∽5000万元的工程</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设计压力&lt;2.0兆帕或总贮存容积&lt;500立方米的液化石油气或&lt;200立方米的液化天然气贮罐厂（站）或供气规模&lt;5万立方米/日的燃气工程，单项合同额&lt;3000万元的工程</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含调压站、混气站、气化站、压缩天然气站、汽车加气站等</w:t>
            </w:r>
          </w:p>
        </w:tc>
      </w:tr>
      <w:tr>
        <w:tblPrEx>
          <w:shd w:val="clear"/>
          <w:tblCellMar>
            <w:top w:w="15" w:type="dxa"/>
            <w:left w:w="15" w:type="dxa"/>
            <w:bottom w:w="15" w:type="dxa"/>
            <w:right w:w="15" w:type="dxa"/>
          </w:tblCellMar>
        </w:tblPrEx>
        <w:trPr>
          <w:trHeight w:val="1734"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8</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城市供热</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热源工程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产热量</w:t>
            </w:r>
            <w:r>
              <w:rPr>
                <w:rFonts w:hint="eastAsia" w:ascii="宋体" w:hAnsi="宋体" w:eastAsia="宋体" w:cs="宋体"/>
                <w:color w:val="000000"/>
                <w:sz w:val="24"/>
                <w:szCs w:val="24"/>
                <w:bdr w:val="none" w:color="auto" w:sz="0" w:space="0"/>
              </w:rPr>
              <w:t>≥250吨/小时或供热面积&gt;30万平方米，单项工程合同额≥5000万元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产热量80</w:t>
            </w:r>
            <w:r>
              <w:rPr>
                <w:rFonts w:hint="eastAsia" w:ascii="宋体" w:hAnsi="宋体" w:eastAsia="宋体" w:cs="宋体"/>
                <w:color w:val="000000"/>
                <w:sz w:val="24"/>
                <w:szCs w:val="24"/>
                <w:bdr w:val="none" w:color="auto" w:sz="0" w:space="0"/>
              </w:rPr>
              <w:t>∽250吨/小时或供热面积10∽30万平方米，单项工程合同额3000∽5000万元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产热量&lt;80吨/小时或供热面积&lt;10万平方米，单项工程合同额&lt;3000万元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1204"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管道工程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w:t>
            </w:r>
            <w:r>
              <w:rPr>
                <w:rFonts w:hint="eastAsia" w:ascii="宋体" w:hAnsi="宋体" w:eastAsia="宋体" w:cs="宋体"/>
                <w:color w:val="000000"/>
                <w:sz w:val="24"/>
                <w:szCs w:val="24"/>
                <w:bdr w:val="none" w:color="auto" w:sz="0" w:space="0"/>
              </w:rPr>
              <w:t>≥500毫米，单项工程合同额≥5000万元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管径200∽500毫米，单项工程合同额3000∽5000万元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管径&lt;200毫米，单项工程合同额&lt;3000万元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本表中的管径为公称直径DN</w:t>
            </w:r>
          </w:p>
        </w:tc>
      </w:tr>
      <w:tr>
        <w:tblPrEx>
          <w:shd w:val="clear"/>
          <w:tblCellMar>
            <w:top w:w="15" w:type="dxa"/>
            <w:left w:w="15" w:type="dxa"/>
            <w:bottom w:w="15" w:type="dxa"/>
            <w:right w:w="15" w:type="dxa"/>
          </w:tblCellMar>
        </w:tblPrEx>
        <w:trPr>
          <w:trHeight w:val="1310"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9</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生活垃圾</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填埋场工程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w:t>
            </w:r>
            <w:r>
              <w:rPr>
                <w:rFonts w:hint="eastAsia" w:ascii="宋体" w:hAnsi="宋体" w:eastAsia="宋体" w:cs="宋体"/>
                <w:color w:val="000000"/>
                <w:sz w:val="24"/>
                <w:szCs w:val="24"/>
                <w:bdr w:val="none" w:color="auto" w:sz="0" w:space="0"/>
              </w:rPr>
              <w:t>≥800吨，单项工程合同额≥5000万元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日处理量400∽800吨，单项工程合同额3000∽5000万元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日处理量&lt;400吨，单项工程合同额&lt;3000万元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填埋面积应折成处理量计</w:t>
            </w:r>
          </w:p>
        </w:tc>
      </w:tr>
      <w:tr>
        <w:tblPrEx>
          <w:shd w:val="clear"/>
          <w:tblCellMar>
            <w:top w:w="15" w:type="dxa"/>
            <w:left w:w="15" w:type="dxa"/>
            <w:bottom w:w="15" w:type="dxa"/>
            <w:right w:w="15" w:type="dxa"/>
          </w:tblCellMar>
        </w:tblPrEx>
        <w:trPr>
          <w:trHeight w:val="1231"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焚烧厂工程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w:t>
            </w:r>
            <w:r>
              <w:rPr>
                <w:rFonts w:hint="eastAsia" w:ascii="宋体" w:hAnsi="宋体" w:eastAsia="宋体" w:cs="宋体"/>
                <w:color w:val="000000"/>
                <w:sz w:val="24"/>
                <w:szCs w:val="24"/>
                <w:bdr w:val="none" w:color="auto" w:sz="0" w:space="0"/>
              </w:rPr>
              <w:t>≥300吨，单项工程合同额≥5000万元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日处理量100∽300吨，单项工程合同额3000∽5000万元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日处理量&lt;100吨，单项工程合同额&lt;3000万元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1233" w:hRule="atLeast"/>
          <w:jc w:val="center"/>
        </w:trPr>
        <w:tc>
          <w:tcPr>
            <w:tcW w:w="426"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10</w:t>
            </w:r>
          </w:p>
        </w:tc>
        <w:tc>
          <w:tcPr>
            <w:tcW w:w="56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交通安全设施</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交通安全防护工程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w:t>
            </w:r>
            <w:r>
              <w:rPr>
                <w:rFonts w:hint="eastAsia" w:ascii="宋体" w:hAnsi="宋体" w:eastAsia="宋体" w:cs="宋体"/>
                <w:color w:val="000000"/>
                <w:sz w:val="24"/>
                <w:szCs w:val="24"/>
                <w:bdr w:val="none" w:color="auto" w:sz="0" w:space="0"/>
              </w:rPr>
              <w:t>≥1000万元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单项工程合同额500</w:t>
            </w:r>
            <w:r>
              <w:rPr>
                <w:rFonts w:hint="eastAsia" w:ascii="宋体" w:hAnsi="宋体" w:eastAsia="宋体" w:cs="宋体"/>
                <w:color w:val="000000"/>
                <w:sz w:val="24"/>
                <w:szCs w:val="24"/>
                <w:bdr w:val="none" w:color="auto" w:sz="0" w:space="0"/>
              </w:rPr>
              <w:t>∽1000万元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单项工程合同额&lt;500万元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含护栏、隔离带、防护墩</w:t>
            </w:r>
          </w:p>
        </w:tc>
      </w:tr>
      <w:tr>
        <w:tblPrEx>
          <w:shd w:val="clear"/>
          <w:tblCellMar>
            <w:top w:w="15" w:type="dxa"/>
            <w:left w:w="15" w:type="dxa"/>
            <w:bottom w:w="15" w:type="dxa"/>
            <w:right w:w="15" w:type="dxa"/>
          </w:tblCellMar>
        </w:tblPrEx>
        <w:trPr>
          <w:trHeight w:val="954" w:hRule="atLeast"/>
          <w:jc w:val="center"/>
        </w:trPr>
        <w:tc>
          <w:tcPr>
            <w:tcW w:w="426"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11</w:t>
            </w:r>
          </w:p>
        </w:tc>
        <w:tc>
          <w:tcPr>
            <w:tcW w:w="56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机电系统</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机电设备安装工程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w:t>
            </w:r>
            <w:r>
              <w:rPr>
                <w:rFonts w:hint="eastAsia" w:ascii="宋体" w:hAnsi="宋体" w:eastAsia="宋体" w:cs="宋体"/>
                <w:color w:val="000000"/>
                <w:sz w:val="24"/>
                <w:szCs w:val="24"/>
                <w:bdr w:val="none" w:color="auto" w:sz="0" w:space="0"/>
              </w:rPr>
              <w:t>≥2000万元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单项工程合同额1000</w:t>
            </w:r>
            <w:r>
              <w:rPr>
                <w:rFonts w:hint="eastAsia" w:ascii="宋体" w:hAnsi="宋体" w:eastAsia="宋体" w:cs="宋体"/>
                <w:color w:val="000000"/>
                <w:sz w:val="24"/>
                <w:szCs w:val="24"/>
                <w:bdr w:val="none" w:color="auto" w:sz="0" w:space="0"/>
              </w:rPr>
              <w:t>∽2000万元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单项工程合同额&lt;1000万元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shd w:val="clear"/>
          <w:tblCellMar>
            <w:top w:w="15" w:type="dxa"/>
            <w:left w:w="15" w:type="dxa"/>
            <w:bottom w:w="15" w:type="dxa"/>
            <w:right w:w="15" w:type="dxa"/>
          </w:tblCellMar>
        </w:tblPrEx>
        <w:trPr>
          <w:trHeight w:val="1237" w:hRule="atLeast"/>
          <w:jc w:val="center"/>
        </w:trPr>
        <w:tc>
          <w:tcPr>
            <w:tcW w:w="426" w:type="dxa"/>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12</w:t>
            </w:r>
          </w:p>
        </w:tc>
        <w:tc>
          <w:tcPr>
            <w:tcW w:w="567" w:type="dxa"/>
            <w:vMerge w:val="restart"/>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轻轨交通</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路基工程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路基工程</w:t>
            </w:r>
            <w:r>
              <w:rPr>
                <w:rFonts w:hint="eastAsia" w:ascii="宋体" w:hAnsi="宋体" w:eastAsia="宋体" w:cs="宋体"/>
                <w:color w:val="000000"/>
                <w:sz w:val="24"/>
                <w:szCs w:val="24"/>
                <w:bdr w:val="none" w:color="auto" w:sz="0" w:space="0"/>
              </w:rPr>
              <w:t>≥2千米，单项工程合同额≥5000万元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路基工程1∽2千米，单项工程合同额3000∽5000万元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路基工程&lt;1千米，单项工程合同额&lt;3000万元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不含轨道铺设</w:t>
            </w:r>
          </w:p>
        </w:tc>
      </w:tr>
      <w:tr>
        <w:tblPrEx>
          <w:shd w:val="clear"/>
          <w:tblCellMar>
            <w:top w:w="15" w:type="dxa"/>
            <w:left w:w="15" w:type="dxa"/>
            <w:bottom w:w="15" w:type="dxa"/>
            <w:right w:w="15" w:type="dxa"/>
          </w:tblCellMar>
        </w:tblPrEx>
        <w:trPr>
          <w:trHeight w:val="1099" w:hRule="atLeast"/>
          <w:jc w:val="center"/>
        </w:trPr>
        <w:tc>
          <w:tcPr>
            <w:tcW w:w="426" w:type="dxa"/>
            <w:vMerge w:val="continue"/>
            <w:tcBorders>
              <w:top w:val="nil"/>
              <w:left w:val="single" w:color="000000" w:sz="8" w:space="0"/>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567" w:type="dxa"/>
            <w:vMerge w:val="continue"/>
            <w:tcBorders>
              <w:top w:val="nil"/>
              <w:left w:val="nil"/>
              <w:bottom w:val="single" w:color="000000" w:sz="8" w:space="0"/>
              <w:right w:val="single" w:color="000000" w:sz="8" w:space="0"/>
            </w:tcBorders>
            <w:shd w:val="clear"/>
            <w:vAlign w:val="center"/>
          </w:tcPr>
          <w:p>
            <w:pPr>
              <w:rPr>
                <w:rFonts w:hint="eastAsia" w:ascii="微软雅黑" w:hAnsi="微软雅黑" w:eastAsia="微软雅黑" w:cs="微软雅黑"/>
                <w:sz w:val="18"/>
                <w:szCs w:val="18"/>
              </w:rPr>
            </w:pP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桥涵工程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w:t>
            </w:r>
            <w:r>
              <w:rPr>
                <w:rFonts w:hint="eastAsia" w:ascii="宋体" w:hAnsi="宋体" w:eastAsia="宋体" w:cs="宋体"/>
                <w:color w:val="000000"/>
                <w:sz w:val="24"/>
                <w:szCs w:val="24"/>
                <w:bdr w:val="none" w:color="auto" w:sz="0" w:space="0"/>
              </w:rPr>
              <w:t>≥40米，单项工程合同额≥5000万元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单跨跨度20∽40米，单项工程合同额3000∽5000万元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单跨跨度&lt;20米，单项工程合同额&lt;3000万元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不含轨道铺设</w:t>
            </w:r>
          </w:p>
        </w:tc>
      </w:tr>
      <w:tr>
        <w:tblPrEx>
          <w:shd w:val="clear"/>
          <w:tblCellMar>
            <w:top w:w="15" w:type="dxa"/>
            <w:left w:w="15" w:type="dxa"/>
            <w:bottom w:w="15" w:type="dxa"/>
            <w:right w:w="15" w:type="dxa"/>
          </w:tblCellMar>
        </w:tblPrEx>
        <w:trPr>
          <w:trHeight w:val="1654" w:hRule="atLeast"/>
          <w:jc w:val="center"/>
        </w:trPr>
        <w:tc>
          <w:tcPr>
            <w:tcW w:w="426"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13</w:t>
            </w:r>
          </w:p>
        </w:tc>
        <w:tc>
          <w:tcPr>
            <w:tcW w:w="56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城市园林</w:t>
            </w:r>
          </w:p>
        </w:tc>
        <w:tc>
          <w:tcPr>
            <w:tcW w:w="99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庭院工程</w:t>
            </w:r>
          </w:p>
        </w:tc>
        <w:tc>
          <w:tcPr>
            <w:tcW w:w="185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w:t>
            </w:r>
            <w:r>
              <w:rPr>
                <w:rFonts w:hint="eastAsia" w:ascii="宋体" w:hAnsi="宋体" w:eastAsia="宋体" w:cs="宋体"/>
                <w:color w:val="000000"/>
                <w:sz w:val="24"/>
                <w:szCs w:val="24"/>
                <w:bdr w:val="none" w:color="auto" w:sz="0" w:space="0"/>
              </w:rPr>
              <w:t>≥2000万元</w:t>
            </w:r>
          </w:p>
        </w:tc>
        <w:tc>
          <w:tcPr>
            <w:tcW w:w="2145"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单项工程合同额1000</w:t>
            </w:r>
            <w:r>
              <w:rPr>
                <w:rFonts w:hint="eastAsia" w:ascii="宋体" w:hAnsi="宋体" w:eastAsia="宋体" w:cs="宋体"/>
                <w:color w:val="000000"/>
                <w:sz w:val="24"/>
                <w:szCs w:val="24"/>
                <w:bdr w:val="none" w:color="auto" w:sz="0" w:space="0"/>
              </w:rPr>
              <w:t>∽2000万元</w:t>
            </w:r>
          </w:p>
        </w:tc>
        <w:tc>
          <w:tcPr>
            <w:tcW w:w="167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单项工程合同额&lt;1000万元</w:t>
            </w:r>
          </w:p>
        </w:tc>
        <w:tc>
          <w:tcPr>
            <w:tcW w:w="141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textAlignment w:val="center"/>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含厅阁、走廊、假山、草坪、广场，绿化、景观</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65" w:lineRule="atLeast"/>
        <w:ind w:left="0" w:right="0" w:firstLine="300"/>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 6</w:t>
      </w:r>
      <w:r>
        <w:rPr>
          <w:rFonts w:hint="eastAsia" w:ascii="仿宋_GB2312" w:hAnsi="Times New Roman" w:eastAsia="仿宋_GB2312" w:cs="仿宋_GB2312"/>
          <w:i w:val="0"/>
          <w:caps w:val="0"/>
          <w:color w:val="333333"/>
          <w:spacing w:val="0"/>
          <w:sz w:val="32"/>
          <w:szCs w:val="32"/>
          <w:bdr w:val="none" w:color="auto" w:sz="0" w:space="0"/>
          <w:shd w:val="clear" w:fill="FFFFFF"/>
        </w:rPr>
        <w:t>．城乡规划设计项目分级标准（参考）</w:t>
      </w:r>
    </w:p>
    <w:tbl>
      <w:tblPr>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8"/>
        <w:gridCol w:w="3722"/>
        <w:gridCol w:w="2169"/>
        <w:gridCol w:w="24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47" w:hRule="atLeast"/>
          <w:jc w:val="center"/>
        </w:trPr>
        <w:tc>
          <w:tcPr>
            <w:tcW w:w="568"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分类</w:t>
            </w:r>
          </w:p>
        </w:tc>
        <w:tc>
          <w:tcPr>
            <w:tcW w:w="850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5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大型</w:t>
            </w:r>
          </w:p>
        </w:tc>
        <w:tc>
          <w:tcPr>
            <w:tcW w:w="219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中型</w:t>
            </w:r>
          </w:p>
        </w:tc>
        <w:tc>
          <w:tcPr>
            <w:tcW w:w="24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小型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62"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全国城镇体系规划、跨省域、跨市域城镇体系规划或省域城镇体系规划及相应的专项规划、专题研究报告、评估报告</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55"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2</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城市群规划、市域城镇体系规划及相应的专项计划、专题研究报告、评估报告</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20万人口以上的城市的各类专项规划、各类城市总体概念规划或战略规划</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20万人口以下城市的各类专项规划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870"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3</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各级城市（不含县城所在地建制镇）总体规划、分区规划及相应的专题研究报告、评估报告</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县城所在地建制镇总体规划及相应的专项规划、专题研究报告、评估报告</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县城以下其它建制镇总体规划、乡规划、村庄规划、名村规划及有关专项规划、专题研究报告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87"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4</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国家级各类开发区（含科技园区、度假区、大学城等）和国家级风景名胜区总体规划的编制及相应的专题研究报告、评估报告，国家级风景名胜区核心景区详细规划</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省级各类开发区总体规划、省级风景名胜区总体规划及详细规划的编制，国家级风景名胜区一般景区详细规划</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地市级及以下各类开发区规划的编制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5</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国家级历史文化名城、名镇、名村保护利用规划</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省级历史文化名城、名镇</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47"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6</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县域村镇体系规划</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国家级示范镇、示范村建设规划</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省级示范镇、示范村建设规划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1"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7</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详细规划的编制:单项控制性详细规划超过3平方公里，单项修建性详细规划或城市设计超过80公顷</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详细规划的编制：单项控制性详细规划面积1~3平方公里，单项修建性详细规划面积20~80公顷</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详细规划的编制：单项控制性详细规划面积1平方公里以下，单项修建性详细规划面积20公顷以下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08"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8</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研究拟订工程投资规模在20000万元以上项目的规划选址论证报告</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研究拟订工程投资规模在0000~20000万元之间项目的规划选址论证报告</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研究拟订工程投资规模在10000万元以下项目的规划选址论证报告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688"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9</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需报省级以上行政审批机关审批的其它规划设计项目</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需报地级市人民政府行政审批机关审批的其它规划设计项目</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各类单位总平面图的规划编制：用地面积在3公顷以上单位总平面规划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14"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10</w:t>
            </w:r>
          </w:p>
        </w:tc>
        <w:tc>
          <w:tcPr>
            <w:tcW w:w="382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省委、省政府、省建设厅及其它省级行政机关直接下达的各类研究报告、各类规划、各类评估报告</w:t>
            </w:r>
          </w:p>
        </w:tc>
        <w:tc>
          <w:tcPr>
            <w:tcW w:w="219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24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5"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kern w:val="0"/>
          <w:sz w:val="32"/>
          <w:szCs w:val="32"/>
          <w:bdr w:val="none" w:color="auto" w:sz="0" w:space="0"/>
          <w:shd w:val="clear" w:fill="FFFFFF"/>
          <w:lang w:val="en-US" w:eastAsia="zh-CN" w:bidi="ar"/>
        </w:rPr>
        <w:t>     7</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．风景园林项目分级标准（参考）</w:t>
      </w:r>
    </w:p>
    <w:tbl>
      <w:tblPr>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83"/>
        <w:gridCol w:w="3244"/>
        <w:gridCol w:w="2501"/>
        <w:gridCol w:w="23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08" w:hRule="atLeast"/>
          <w:jc w:val="center"/>
        </w:trPr>
        <w:tc>
          <w:tcPr>
            <w:tcW w:w="568"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113" w:right="113"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分类</w:t>
            </w:r>
          </w:p>
        </w:tc>
        <w:tc>
          <w:tcPr>
            <w:tcW w:w="8505"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8" w:hRule="atLeast"/>
          <w:jc w:val="center"/>
        </w:trPr>
        <w:tc>
          <w:tcPr>
            <w:tcW w:w="5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大型</w:t>
            </w:r>
          </w:p>
        </w:tc>
        <w:tc>
          <w:tcPr>
            <w:tcW w:w="260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中型</w:t>
            </w:r>
          </w:p>
        </w:tc>
        <w:tc>
          <w:tcPr>
            <w:tcW w:w="246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小型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18"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50万人口以上城市风貌规划、城市园林绿地系统专项规划或用地规模5000公顷以上的森林公园规划</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50万人口以下城市风貌规划、园林绿地系统规划；或用地规模5000公顷以上的森林公园规划</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2</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国家级风景名胜区总体规划或景区详细规划</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省级风景名胜区总体规划及详细规划</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县城以外建制镇风貌规划、城市园林绿地系统规划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3</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用地规模50公顷以上各类城市规划区范围内的公园详细规划、风光带规划、小区景观规划；用地规模20公顷以上的各类景观工程项目</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用地规模10~50公顷以内各类城市规划区范围内的公园详细规划、风光带规划，或用地规模10~50公顷以内的小区景观规划、用地规模5~20公顷的景观工程项目</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10公顷以下公园详细规划、风光带规划、小区景观规划或用地规模5公顷以下的景观工程项目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56"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4</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投资规模2000万元以上的园林景观工程项目</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投资规模在500~2000万元的景观工程项目</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投资规模在500万元以下的景观工程项目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31"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5</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纳入市级以上重点工程的景观规划或景观工程项目</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6</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道路横线宽度在50米以上城市园林景观道路工程项目</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5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7</w:t>
            </w:r>
          </w:p>
        </w:tc>
        <w:tc>
          <w:tcPr>
            <w:tcW w:w="34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风景名胜区、公共建筑环境、公园、度假村、高尔夫球场工程项目</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c>
          <w:tcPr>
            <w:tcW w:w="246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60" w:lineRule="atLeast"/>
              <w:ind w:left="0" w:right="0" w:firstLine="300"/>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5" w:lineRule="atLeast"/>
        <w:ind w:left="0" w:right="0" w:firstLine="640"/>
        <w:jc w:val="left"/>
        <w:rPr>
          <w:rFonts w:hint="default" w:ascii="Times New Roman" w:hAnsi="Times New Roman" w:cs="Times New Roman"/>
          <w:i w:val="0"/>
          <w:caps w:val="0"/>
          <w:color w:val="333333"/>
          <w:spacing w:val="0"/>
          <w:sz w:val="32"/>
          <w:szCs w:val="32"/>
        </w:rPr>
      </w:pPr>
      <w:r>
        <w:rPr>
          <w:rFonts w:hint="default" w:ascii="Times New Roman" w:hAnsi="Times New Roman" w:cs="Times New Roman"/>
          <w:i w:val="0"/>
          <w:caps w:val="0"/>
          <w:color w:val="333333"/>
          <w:spacing w:val="0"/>
          <w:sz w:val="32"/>
          <w:szCs w:val="32"/>
          <w:bdr w:val="none" w:color="auto" w:sz="0" w:space="0"/>
          <w:shd w:val="clear" w:fill="FFFFFF"/>
        </w:rPr>
        <w:t>8</w:t>
      </w:r>
      <w:r>
        <w:rPr>
          <w:rFonts w:hint="eastAsia" w:ascii="仿宋_GB2312" w:hAnsi="Times New Roman" w:eastAsia="仿宋_GB2312" w:cs="仿宋_GB2312"/>
          <w:i w:val="0"/>
          <w:caps w:val="0"/>
          <w:color w:val="333333"/>
          <w:spacing w:val="0"/>
          <w:sz w:val="32"/>
          <w:szCs w:val="32"/>
          <w:bdr w:val="none" w:color="auto" w:sz="0" w:space="0"/>
          <w:shd w:val="clear" w:fill="FFFFFF"/>
        </w:rPr>
        <w:t>．工程建设白蚁防治分级标准（参考）</w:t>
      </w:r>
    </w:p>
    <w:tbl>
      <w:tblPr>
        <w:tblW w:w="903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83"/>
        <w:gridCol w:w="2825"/>
        <w:gridCol w:w="2792"/>
        <w:gridCol w:w="24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8" w:hRule="atLeast"/>
          <w:jc w:val="center"/>
        </w:trPr>
        <w:tc>
          <w:tcPr>
            <w:tcW w:w="709"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113" w:right="113"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分类</w:t>
            </w:r>
          </w:p>
        </w:tc>
        <w:tc>
          <w:tcPr>
            <w:tcW w:w="8329"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工程等级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508" w:hRule="atLeast"/>
          <w:jc w:val="center"/>
        </w:trPr>
        <w:tc>
          <w:tcPr>
            <w:tcW w:w="70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微软雅黑" w:hAnsi="微软雅黑" w:eastAsia="微软雅黑" w:cs="微软雅黑"/>
                <w:sz w:val="18"/>
                <w:szCs w:val="18"/>
              </w:rPr>
            </w:pP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大型</w:t>
            </w:r>
          </w:p>
        </w:tc>
        <w:tc>
          <w:tcPr>
            <w:tcW w:w="28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中型</w:t>
            </w:r>
          </w:p>
        </w:tc>
        <w:tc>
          <w:tcPr>
            <w:tcW w:w="25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小型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163"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1</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国家级文物古迹，且防治面积在10000㎡以上的白蚁防治工程</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省级文物古迹，且防治面积在5000～10000㎡的白蚁防治工程</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市级文物古迹，且防治面积在5000㎡以下的白蚁防治工程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456"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2</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总库容10亿</w:t>
            </w:r>
            <w:r>
              <w:rPr>
                <w:rFonts w:ascii="Batang" w:hAnsi="Batang" w:eastAsia="Batang" w:cs="Batang"/>
                <w:color w:val="333333"/>
                <w:sz w:val="24"/>
                <w:szCs w:val="24"/>
                <w:bdr w:val="none" w:color="auto" w:sz="0" w:space="0"/>
              </w:rPr>
              <w:t>㎥</w:t>
            </w:r>
            <w:r>
              <w:rPr>
                <w:rFonts w:hint="eastAsia" w:ascii="宋体" w:hAnsi="宋体" w:eastAsia="宋体" w:cs="宋体"/>
                <w:color w:val="333333"/>
                <w:sz w:val="24"/>
                <w:szCs w:val="24"/>
                <w:bdr w:val="none" w:color="auto" w:sz="0" w:space="0"/>
              </w:rPr>
              <w:t>以上的水库、堤坝，且防治面积在20000㎡以上的白蚁防治工程</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总库容1亿</w:t>
            </w:r>
            <w:r>
              <w:rPr>
                <w:rFonts w:hint="eastAsia" w:ascii="Batang" w:hAnsi="Batang" w:eastAsia="Batang" w:cs="Batang"/>
                <w:color w:val="333333"/>
                <w:sz w:val="24"/>
                <w:szCs w:val="24"/>
                <w:bdr w:val="none" w:color="auto" w:sz="0" w:space="0"/>
              </w:rPr>
              <w:t>㎥</w:t>
            </w:r>
            <w:r>
              <w:rPr>
                <w:rFonts w:hint="eastAsia" w:ascii="宋体" w:hAnsi="宋体" w:eastAsia="宋体" w:cs="宋体"/>
                <w:color w:val="333333"/>
                <w:sz w:val="24"/>
                <w:szCs w:val="24"/>
                <w:bdr w:val="none" w:color="auto" w:sz="0" w:space="0"/>
              </w:rPr>
              <w:t>以上的水库、堤坝，且防治面积在10000㎡以上的白蚁防治工程</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总库容1亿</w:t>
            </w:r>
            <w:r>
              <w:rPr>
                <w:rFonts w:hint="eastAsia" w:ascii="Batang" w:hAnsi="Batang" w:eastAsia="Batang" w:cs="Batang"/>
                <w:color w:val="333333"/>
                <w:sz w:val="24"/>
                <w:szCs w:val="24"/>
                <w:bdr w:val="none" w:color="auto" w:sz="0" w:space="0"/>
              </w:rPr>
              <w:t>㎥</w:t>
            </w:r>
            <w:r>
              <w:rPr>
                <w:rFonts w:hint="eastAsia" w:ascii="宋体" w:hAnsi="宋体" w:eastAsia="宋体" w:cs="宋体"/>
                <w:color w:val="333333"/>
                <w:sz w:val="24"/>
                <w:szCs w:val="24"/>
                <w:bdr w:val="none" w:color="auto" w:sz="0" w:space="0"/>
              </w:rPr>
              <w:t>以下或防治面积在10000㎡以下的水库、堤坝及塘坝白蚁防治工程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600"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3</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大型公共场馆、重要办公楼宇、大专院校建筑群落、省级及以上图书档案资料存储场所、重要通信和交通运输用房、高级宾馆、高档别墅等大型或重要公共建筑和民用建筑的白蚁防治工程。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且防治面积在30000㎡以上的白蚁防治工程</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中小型公共场馆、较大办公楼、、中小学建筑群落、县级以上档案馆图书档案资料存储场所、一般通信和交通运输用房、一般宾馆、高级住宅等中型公共建筑和民用建筑的白蚁防治工程，且防治面积在10000～30000㎡以上的白蚁防治工程</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一般公共场馆、普通办公楼、县级以下图书档案存储场所、普通旅馆、招待所、一般民用住宅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等普通公共建筑和民用建筑的白蚁防治工程，且防治面积在10000㎡以下的白蚁防治工程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833"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4</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特殊工业企业厂矿车间、仓库白蚁防治工程，且防治面积在20000㎡以上的白蚁防治工程</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大型厂矿企业车间、仓库、办公楼白蚁防治工程，且防治面积在大于10000㎡以上的白蚁防治工程。</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中小型企业、厂矿车间、仓库白蚁防治工程，且防治面积在10000㎡以下的白蚁防治工程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26"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5</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总面积200000㎡的新建房屋的白蚁预防工程</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总面积100000～200000㎡的新建房屋的白蚁预防工程</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总面积100000万㎡以下的新建房屋的白蚁预防工程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1026" w:hRule="atLeast"/>
          <w:jc w:val="center"/>
        </w:trPr>
        <w:tc>
          <w:tcPr>
            <w:tcW w:w="7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jc w:val="center"/>
              <w:rPr>
                <w:rFonts w:hint="default" w:ascii="Times New Roman" w:hAnsi="Times New Roman" w:cs="Times New Roman"/>
                <w:color w:val="333333"/>
                <w:sz w:val="32"/>
                <w:szCs w:val="32"/>
              </w:rPr>
            </w:pPr>
            <w:r>
              <w:rPr>
                <w:rFonts w:hint="eastAsia" w:ascii="宋体" w:hAnsi="宋体" w:eastAsia="宋体" w:cs="宋体"/>
                <w:b/>
                <w:color w:val="333333"/>
                <w:sz w:val="24"/>
                <w:szCs w:val="24"/>
                <w:bdr w:val="none" w:color="auto" w:sz="0" w:space="0"/>
              </w:rPr>
              <w:t>6</w:t>
            </w:r>
          </w:p>
        </w:tc>
        <w:tc>
          <w:tcPr>
            <w:tcW w:w="292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总面积50公顷以上的园林、绿地，且防治面积在50000㎡以上的白蚁防治项目</w:t>
            </w:r>
          </w:p>
        </w:tc>
        <w:tc>
          <w:tcPr>
            <w:tcW w:w="2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总面积20公顷以上的园林、绿地，且防治面积在大于20000㎡的白蚁防治项目</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300"/>
              <w:rPr>
                <w:rFonts w:hint="default" w:ascii="Times New Roman" w:hAnsi="Times New Roman" w:cs="Times New Roman"/>
                <w:color w:val="333333"/>
                <w:sz w:val="32"/>
                <w:szCs w:val="32"/>
              </w:rPr>
            </w:pPr>
            <w:r>
              <w:rPr>
                <w:rFonts w:hint="eastAsia" w:ascii="宋体" w:hAnsi="宋体" w:eastAsia="宋体" w:cs="宋体"/>
                <w:color w:val="333333"/>
                <w:sz w:val="24"/>
                <w:szCs w:val="24"/>
                <w:bdr w:val="none" w:color="auto" w:sz="0" w:space="0"/>
              </w:rPr>
              <w:t>总面积20公顷以下或防治面积在20000㎡以下的园林、绿地的白蚁防治项目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30258"/>
    <w:rsid w:val="4EF3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2020-01-13T07:32:00Z</dcterms:created>
  <dc:creator>光头佬</dc:creator>
  <cp:lastModifiedBy>光头佬</cp:lastModifiedBy>
  <dcterms:modified xsi:type="dcterms:W3CDTF">2020-01-13T07:33:32Z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