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40" w:lineRule="exact"/>
        <w:rPr>
          <w:rFonts w:hint="default" w:ascii="Times New Roman" w:hAnsi="Times New Roman" w:eastAsia="仿宋_GB2312" w:cs="Times New Roman"/>
          <w:b/>
          <w:color w:val="auto"/>
          <w:spacing w:val="-20"/>
          <w:sz w:val="48"/>
          <w:szCs w:val="48"/>
          <w:lang w:eastAsia="zh-CN"/>
        </w:rPr>
      </w:pPr>
      <w:r>
        <w:rPr>
          <w:rFonts w:hint="default" w:ascii="Times New Roman" w:hAnsi="Times New Roman" w:eastAsia="仿宋_GB2312" w:cs="Times New Roman"/>
          <w:color w:val="auto"/>
          <w:sz w:val="32"/>
          <w:szCs w:val="32"/>
        </w:rPr>
        <w:t>附件</w:t>
      </w:r>
      <w:r>
        <w:rPr>
          <w:rFonts w:hint="default" w:ascii="Times New Roman" w:hAnsi="Times New Roman" w:eastAsia="仿宋_GB2312" w:cs="Times New Roman"/>
          <w:color w:val="auto"/>
          <w:sz w:val="32"/>
          <w:szCs w:val="32"/>
          <w:lang w:val="en-US" w:eastAsia="zh-CN"/>
        </w:rPr>
        <w:t>2</w:t>
      </w:r>
    </w:p>
    <w:p>
      <w:pPr>
        <w:spacing w:after="156" w:afterLines="50"/>
        <w:jc w:val="center"/>
        <w:rPr>
          <w:rFonts w:hint="default" w:ascii="Times New Roman" w:hAnsi="Times New Roman" w:eastAsia="华文新魏" w:cs="Times New Roman"/>
          <w:b/>
          <w:color w:val="auto"/>
          <w:spacing w:val="-20"/>
          <w:sz w:val="48"/>
          <w:szCs w:val="48"/>
        </w:rPr>
      </w:pPr>
    </w:p>
    <w:p>
      <w:pPr>
        <w:spacing w:after="156" w:afterLines="50"/>
        <w:jc w:val="center"/>
        <w:rPr>
          <w:rFonts w:hint="default" w:ascii="Times New Roman" w:hAnsi="Times New Roman" w:eastAsia="华文新魏" w:cs="Times New Roman"/>
          <w:b/>
          <w:color w:val="auto"/>
          <w:spacing w:val="-20"/>
          <w:sz w:val="48"/>
          <w:szCs w:val="48"/>
        </w:rPr>
      </w:pPr>
    </w:p>
    <w:p>
      <w:pPr>
        <w:spacing w:after="156" w:afterLines="50"/>
        <w:jc w:val="center"/>
        <w:rPr>
          <w:rFonts w:hint="default" w:ascii="Times New Roman" w:hAnsi="Times New Roman" w:eastAsia="华文新魏" w:cs="Times New Roman"/>
          <w:b/>
          <w:color w:val="auto"/>
          <w:spacing w:val="-20"/>
          <w:sz w:val="52"/>
          <w:szCs w:val="52"/>
        </w:rPr>
      </w:pPr>
      <w:r>
        <w:rPr>
          <w:rFonts w:hint="default" w:ascii="Times New Roman" w:hAnsi="Times New Roman" w:eastAsia="华文新魏" w:cs="Times New Roman"/>
          <w:b/>
          <w:color w:val="auto"/>
          <w:spacing w:val="-20"/>
          <w:sz w:val="52"/>
          <w:szCs w:val="52"/>
        </w:rPr>
        <w:t>湖南省园林绿化企业信用评价标准</w:t>
      </w:r>
    </w:p>
    <w:p>
      <w:pPr>
        <w:spacing w:line="840" w:lineRule="exact"/>
        <w:jc w:val="center"/>
        <w:rPr>
          <w:rFonts w:hint="default" w:ascii="Times New Roman" w:hAnsi="Times New Roman" w:eastAsia="华文新魏" w:cs="Times New Roman"/>
          <w:b/>
          <w:color w:val="auto"/>
          <w:spacing w:val="-20"/>
          <w:sz w:val="48"/>
          <w:szCs w:val="48"/>
        </w:rPr>
      </w:pPr>
    </w:p>
    <w:p>
      <w:pPr>
        <w:spacing w:line="840" w:lineRule="exact"/>
        <w:jc w:val="center"/>
        <w:rPr>
          <w:rFonts w:hint="default" w:ascii="Times New Roman" w:hAnsi="Times New Roman" w:eastAsia="华文新魏" w:cs="Times New Roman"/>
          <w:b/>
          <w:color w:val="auto"/>
          <w:sz w:val="72"/>
          <w:szCs w:val="72"/>
        </w:rPr>
      </w:pPr>
      <w:r>
        <w:rPr>
          <w:rFonts w:hint="default" w:ascii="Times New Roman" w:hAnsi="Times New Roman" w:eastAsia="华文新魏" w:cs="Times New Roman"/>
          <w:b/>
          <w:color w:val="auto"/>
          <w:sz w:val="72"/>
          <w:szCs w:val="72"/>
        </w:rPr>
        <w:t xml:space="preserve">  </w:t>
      </w:r>
    </w:p>
    <w:p>
      <w:pPr>
        <w:spacing w:line="840" w:lineRule="exact"/>
        <w:jc w:val="center"/>
        <w:rPr>
          <w:rFonts w:hint="default" w:ascii="Times New Roman" w:hAnsi="Times New Roman" w:eastAsia="华文新魏" w:cs="Times New Roman"/>
          <w:b/>
          <w:color w:val="auto"/>
          <w:sz w:val="72"/>
          <w:szCs w:val="72"/>
        </w:rPr>
      </w:pPr>
    </w:p>
    <w:p>
      <w:pPr>
        <w:spacing w:line="840" w:lineRule="exact"/>
        <w:jc w:val="center"/>
        <w:rPr>
          <w:rFonts w:hint="default" w:ascii="Times New Roman" w:hAnsi="Times New Roman" w:eastAsia="华文新魏" w:cs="Times New Roman"/>
          <w:b/>
          <w:color w:val="auto"/>
          <w:sz w:val="72"/>
          <w:szCs w:val="72"/>
        </w:rPr>
      </w:pPr>
    </w:p>
    <w:p>
      <w:pPr>
        <w:spacing w:line="840" w:lineRule="exact"/>
        <w:jc w:val="center"/>
        <w:rPr>
          <w:rFonts w:hint="default" w:ascii="Times New Roman" w:hAnsi="Times New Roman" w:eastAsia="华文新魏" w:cs="Times New Roman"/>
          <w:b/>
          <w:color w:val="auto"/>
          <w:sz w:val="72"/>
          <w:szCs w:val="72"/>
        </w:rPr>
      </w:pPr>
    </w:p>
    <w:p>
      <w:pPr>
        <w:spacing w:line="840" w:lineRule="exact"/>
        <w:jc w:val="center"/>
        <w:rPr>
          <w:rFonts w:hint="default" w:ascii="Times New Roman" w:hAnsi="Times New Roman" w:eastAsia="华文新魏" w:cs="Times New Roman"/>
          <w:b/>
          <w:color w:val="auto"/>
          <w:sz w:val="72"/>
          <w:szCs w:val="72"/>
        </w:rPr>
      </w:pPr>
    </w:p>
    <w:p>
      <w:pPr>
        <w:spacing w:line="840" w:lineRule="exact"/>
        <w:jc w:val="center"/>
        <w:rPr>
          <w:rFonts w:hint="default" w:ascii="Times New Roman" w:hAnsi="Times New Roman" w:eastAsia="华文新魏" w:cs="Times New Roman"/>
          <w:b/>
          <w:color w:val="auto"/>
          <w:sz w:val="72"/>
          <w:szCs w:val="72"/>
        </w:rPr>
      </w:pPr>
    </w:p>
    <w:p>
      <w:pPr>
        <w:rPr>
          <w:rFonts w:hint="default" w:ascii="Times New Roman" w:hAnsi="Times New Roman" w:eastAsia="仿宋_GB2312" w:cs="Times New Roman"/>
          <w:color w:val="auto"/>
          <w:sz w:val="32"/>
          <w:szCs w:val="32"/>
        </w:rPr>
      </w:pPr>
    </w:p>
    <w:p>
      <w:pPr>
        <w:ind w:firstLine="2880" w:firstLineChars="900"/>
        <w:rPr>
          <w:rFonts w:hint="default" w:ascii="Times New Roman" w:hAnsi="Times New Roman" w:eastAsia="楷体_GB2312" w:cs="Times New Roman"/>
          <w:color w:val="auto"/>
          <w:sz w:val="32"/>
          <w:szCs w:val="32"/>
        </w:rPr>
      </w:pPr>
      <w:r>
        <w:rPr>
          <w:rFonts w:hint="default" w:ascii="Times New Roman" w:hAnsi="Times New Roman" w:eastAsia="华文楷体" w:cs="Times New Roman"/>
          <w:color w:val="auto"/>
          <w:sz w:val="32"/>
          <w:szCs w:val="32"/>
        </w:rPr>
        <w:t xml:space="preserve">     </w:t>
      </w:r>
      <w:r>
        <w:rPr>
          <w:rFonts w:hint="default" w:ascii="Times New Roman" w:hAnsi="Times New Roman" w:eastAsia="楷体_GB2312" w:cs="Times New Roman"/>
          <w:color w:val="auto"/>
          <w:sz w:val="32"/>
          <w:szCs w:val="32"/>
        </w:rPr>
        <w:t xml:space="preserve"> </w:t>
      </w:r>
    </w:p>
    <w:p>
      <w:pPr>
        <w:ind w:firstLine="2880" w:firstLineChars="900"/>
        <w:rPr>
          <w:rFonts w:hint="default" w:ascii="Times New Roman" w:hAnsi="Times New Roman" w:eastAsia="楷体_GB2312" w:cs="Times New Roman"/>
          <w:color w:val="auto"/>
          <w:sz w:val="32"/>
          <w:szCs w:val="32"/>
        </w:rPr>
      </w:pPr>
    </w:p>
    <w:p>
      <w:pPr>
        <w:jc w:val="center"/>
        <w:rPr>
          <w:rFonts w:hint="default" w:ascii="Times New Roman" w:hAnsi="Times New Roman" w:eastAsia="新宋体" w:cs="Times New Roman"/>
          <w:b/>
          <w:bCs/>
          <w:color w:val="auto"/>
          <w:sz w:val="32"/>
          <w:szCs w:val="32"/>
        </w:rPr>
      </w:pPr>
      <w:r>
        <w:rPr>
          <w:rFonts w:hint="default" w:ascii="Times New Roman" w:hAnsi="Times New Roman" w:eastAsia="新宋体" w:cs="Times New Roman"/>
          <w:b/>
          <w:bCs/>
          <w:color w:val="auto"/>
          <w:sz w:val="32"/>
          <w:szCs w:val="32"/>
        </w:rPr>
        <w:t>湖南省园林绿化协会印制</w:t>
      </w:r>
    </w:p>
    <w:p>
      <w:pPr>
        <w:spacing w:after="156" w:afterLines="50"/>
        <w:jc w:val="center"/>
        <w:rPr>
          <w:rFonts w:hint="default" w:ascii="Times New Roman" w:hAnsi="Times New Roman" w:cs="Times New Roman"/>
          <w:b/>
          <w:color w:val="auto"/>
          <w:sz w:val="36"/>
          <w:szCs w:val="36"/>
        </w:rPr>
      </w:pPr>
      <w:r>
        <w:rPr>
          <w:rFonts w:hint="default" w:ascii="Times New Roman" w:hAnsi="Times New Roman" w:cs="Times New Roman"/>
          <w:b/>
          <w:color w:val="auto"/>
          <w:sz w:val="36"/>
          <w:szCs w:val="36"/>
        </w:rPr>
        <w:br w:type="page"/>
      </w:r>
      <w:r>
        <w:rPr>
          <w:rFonts w:hint="default" w:ascii="Times New Roman" w:hAnsi="Times New Roman" w:cs="Times New Roman"/>
          <w:b/>
          <w:color w:val="auto"/>
          <w:sz w:val="36"/>
          <w:szCs w:val="36"/>
        </w:rPr>
        <w:t>湖南省园林绿化企业信用评价标准</w:t>
      </w:r>
    </w:p>
    <w:tbl>
      <w:tblPr>
        <w:tblStyle w:val="3"/>
        <w:tblW w:w="9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129"/>
        <w:gridCol w:w="2446"/>
        <w:gridCol w:w="762"/>
        <w:gridCol w:w="4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60"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b/>
                <w:bCs/>
                <w:color w:val="auto"/>
                <w:sz w:val="24"/>
              </w:rPr>
            </w:pPr>
            <w:r>
              <w:rPr>
                <w:rFonts w:hint="default" w:ascii="Times New Roman" w:hAnsi="Times New Roman" w:eastAsia="仿宋_GB2312" w:cs="Times New Roman"/>
                <w:b/>
                <w:bCs/>
                <w:color w:val="auto"/>
                <w:sz w:val="24"/>
              </w:rPr>
              <w:t>项目</w:t>
            </w:r>
          </w:p>
        </w:tc>
        <w:tc>
          <w:tcPr>
            <w:tcW w:w="1129"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b/>
                <w:bCs/>
                <w:color w:val="auto"/>
                <w:sz w:val="24"/>
              </w:rPr>
            </w:pPr>
            <w:r>
              <w:rPr>
                <w:rFonts w:hint="default" w:ascii="Times New Roman" w:hAnsi="Times New Roman" w:eastAsia="仿宋_GB2312" w:cs="Times New Roman"/>
                <w:b/>
                <w:bCs/>
                <w:color w:val="auto"/>
                <w:sz w:val="24"/>
              </w:rPr>
              <w:t>类别</w:t>
            </w: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b/>
                <w:bCs/>
                <w:color w:val="auto"/>
                <w:sz w:val="24"/>
              </w:rPr>
            </w:pPr>
            <w:r>
              <w:rPr>
                <w:rFonts w:hint="default" w:ascii="Times New Roman" w:hAnsi="Times New Roman" w:eastAsia="仿宋_GB2312" w:cs="Times New Roman"/>
                <w:b/>
                <w:bCs/>
                <w:color w:val="auto"/>
                <w:sz w:val="24"/>
              </w:rPr>
              <w:t>评   价   内   容</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b/>
                <w:bCs/>
                <w:color w:val="auto"/>
                <w:sz w:val="24"/>
              </w:rPr>
            </w:pPr>
            <w:r>
              <w:rPr>
                <w:rFonts w:hint="default" w:ascii="Times New Roman" w:hAnsi="Times New Roman" w:eastAsia="仿宋_GB2312" w:cs="Times New Roman"/>
                <w:b/>
                <w:bCs/>
                <w:color w:val="auto"/>
                <w:sz w:val="24"/>
              </w:rPr>
              <w:t>标准分值</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b/>
                <w:bCs/>
                <w:color w:val="auto"/>
                <w:sz w:val="24"/>
              </w:rPr>
            </w:pPr>
            <w:r>
              <w:rPr>
                <w:rFonts w:hint="default" w:ascii="Times New Roman" w:hAnsi="Times New Roman" w:eastAsia="仿宋_GB2312" w:cs="Times New Roman"/>
                <w:b/>
                <w:bCs/>
                <w:color w:val="auto"/>
                <w:sz w:val="24"/>
              </w:rPr>
              <w:t>评   分   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6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_GB2312" w:cs="Times New Roman"/>
                <w:color w:val="auto"/>
                <w:spacing w:val="-20"/>
                <w:sz w:val="24"/>
              </w:rPr>
            </w:pPr>
            <w:r>
              <w:rPr>
                <w:rFonts w:hint="default" w:ascii="Times New Roman" w:hAnsi="Times New Roman" w:eastAsia="仿宋_GB2312" w:cs="Times New Roman"/>
                <w:color w:val="auto"/>
                <w:spacing w:val="-20"/>
                <w:sz w:val="24"/>
              </w:rPr>
              <w:t>一、</w:t>
            </w:r>
          </w:p>
          <w:p>
            <w:pPr>
              <w:spacing w:line="440" w:lineRule="exact"/>
              <w:jc w:val="center"/>
              <w:rPr>
                <w:rFonts w:hint="default" w:ascii="Times New Roman" w:hAnsi="Times New Roman" w:eastAsia="仿宋_GB2312" w:cs="Times New Roman"/>
                <w:color w:val="auto"/>
                <w:spacing w:val="-20"/>
                <w:sz w:val="24"/>
              </w:rPr>
            </w:pPr>
          </w:p>
          <w:p>
            <w:pPr>
              <w:spacing w:line="440" w:lineRule="exact"/>
              <w:jc w:val="center"/>
              <w:rPr>
                <w:rFonts w:hint="default" w:ascii="Times New Roman" w:hAnsi="Times New Roman" w:eastAsia="仿宋_GB2312" w:cs="Times New Roman"/>
                <w:color w:val="auto"/>
                <w:spacing w:val="-20"/>
                <w:sz w:val="24"/>
              </w:rPr>
            </w:pPr>
            <w:r>
              <w:rPr>
                <w:rFonts w:hint="default" w:ascii="Times New Roman" w:hAnsi="Times New Roman" w:eastAsia="仿宋_GB2312" w:cs="Times New Roman"/>
                <w:color w:val="auto"/>
                <w:spacing w:val="-20"/>
                <w:sz w:val="24"/>
              </w:rPr>
              <w:t>企</w:t>
            </w:r>
          </w:p>
          <w:p>
            <w:pPr>
              <w:spacing w:line="440" w:lineRule="exact"/>
              <w:jc w:val="center"/>
              <w:rPr>
                <w:rFonts w:hint="default" w:ascii="Times New Roman" w:hAnsi="Times New Roman" w:eastAsia="仿宋_GB2312" w:cs="Times New Roman"/>
                <w:color w:val="auto"/>
                <w:spacing w:val="-20"/>
                <w:sz w:val="24"/>
              </w:rPr>
            </w:pPr>
          </w:p>
          <w:p>
            <w:pPr>
              <w:spacing w:line="440" w:lineRule="exact"/>
              <w:jc w:val="center"/>
              <w:rPr>
                <w:rFonts w:hint="default" w:ascii="Times New Roman" w:hAnsi="Times New Roman" w:eastAsia="仿宋_GB2312" w:cs="Times New Roman"/>
                <w:color w:val="auto"/>
                <w:spacing w:val="-20"/>
                <w:sz w:val="24"/>
              </w:rPr>
            </w:pPr>
            <w:r>
              <w:rPr>
                <w:rFonts w:hint="default" w:ascii="Times New Roman" w:hAnsi="Times New Roman" w:eastAsia="仿宋_GB2312" w:cs="Times New Roman"/>
                <w:color w:val="auto"/>
                <w:spacing w:val="-20"/>
                <w:sz w:val="24"/>
              </w:rPr>
              <w:t>业</w:t>
            </w:r>
          </w:p>
          <w:p>
            <w:pPr>
              <w:spacing w:line="440" w:lineRule="exact"/>
              <w:jc w:val="center"/>
              <w:rPr>
                <w:rFonts w:hint="default" w:ascii="Times New Roman" w:hAnsi="Times New Roman" w:eastAsia="仿宋_GB2312" w:cs="Times New Roman"/>
                <w:color w:val="auto"/>
                <w:spacing w:val="-20"/>
                <w:sz w:val="24"/>
              </w:rPr>
            </w:pPr>
          </w:p>
          <w:p>
            <w:pPr>
              <w:spacing w:line="440" w:lineRule="exact"/>
              <w:jc w:val="center"/>
              <w:rPr>
                <w:rFonts w:hint="default" w:ascii="Times New Roman" w:hAnsi="Times New Roman" w:eastAsia="仿宋_GB2312" w:cs="Times New Roman"/>
                <w:color w:val="auto"/>
                <w:spacing w:val="-20"/>
                <w:sz w:val="24"/>
              </w:rPr>
            </w:pPr>
            <w:r>
              <w:rPr>
                <w:rFonts w:hint="default" w:ascii="Times New Roman" w:hAnsi="Times New Roman" w:eastAsia="仿宋_GB2312" w:cs="Times New Roman"/>
                <w:color w:val="auto"/>
                <w:spacing w:val="-20"/>
                <w:sz w:val="24"/>
              </w:rPr>
              <w:t>基</w:t>
            </w:r>
          </w:p>
          <w:p>
            <w:pPr>
              <w:spacing w:line="440" w:lineRule="exact"/>
              <w:jc w:val="center"/>
              <w:rPr>
                <w:rFonts w:hint="default" w:ascii="Times New Roman" w:hAnsi="Times New Roman" w:eastAsia="仿宋_GB2312" w:cs="Times New Roman"/>
                <w:color w:val="auto"/>
                <w:spacing w:val="-20"/>
                <w:sz w:val="24"/>
              </w:rPr>
            </w:pPr>
          </w:p>
          <w:p>
            <w:pPr>
              <w:spacing w:line="440" w:lineRule="exact"/>
              <w:jc w:val="center"/>
              <w:rPr>
                <w:rFonts w:hint="default" w:ascii="Times New Roman" w:hAnsi="Times New Roman" w:eastAsia="仿宋_GB2312" w:cs="Times New Roman"/>
                <w:color w:val="auto"/>
                <w:spacing w:val="-20"/>
                <w:sz w:val="24"/>
              </w:rPr>
            </w:pPr>
            <w:r>
              <w:rPr>
                <w:rFonts w:hint="default" w:ascii="Times New Roman" w:hAnsi="Times New Roman" w:eastAsia="仿宋_GB2312" w:cs="Times New Roman"/>
                <w:color w:val="auto"/>
                <w:spacing w:val="-20"/>
                <w:sz w:val="24"/>
              </w:rPr>
              <w:t>本</w:t>
            </w:r>
          </w:p>
          <w:p>
            <w:pPr>
              <w:spacing w:line="440" w:lineRule="exact"/>
              <w:jc w:val="center"/>
              <w:rPr>
                <w:rFonts w:hint="default" w:ascii="Times New Roman" w:hAnsi="Times New Roman" w:eastAsia="仿宋_GB2312" w:cs="Times New Roman"/>
                <w:color w:val="auto"/>
                <w:spacing w:val="-20"/>
                <w:sz w:val="24"/>
              </w:rPr>
            </w:pPr>
          </w:p>
          <w:p>
            <w:pPr>
              <w:spacing w:line="440" w:lineRule="exact"/>
              <w:jc w:val="center"/>
              <w:rPr>
                <w:rFonts w:hint="default" w:ascii="Times New Roman" w:hAnsi="Times New Roman" w:eastAsia="仿宋_GB2312" w:cs="Times New Roman"/>
                <w:color w:val="auto"/>
                <w:spacing w:val="-20"/>
                <w:sz w:val="24"/>
              </w:rPr>
            </w:pPr>
            <w:r>
              <w:rPr>
                <w:rFonts w:hint="default" w:ascii="Times New Roman" w:hAnsi="Times New Roman" w:eastAsia="仿宋_GB2312" w:cs="Times New Roman"/>
                <w:color w:val="auto"/>
                <w:spacing w:val="-20"/>
                <w:sz w:val="24"/>
              </w:rPr>
              <w:t>素</w:t>
            </w:r>
          </w:p>
          <w:p>
            <w:pPr>
              <w:spacing w:line="440" w:lineRule="exact"/>
              <w:jc w:val="center"/>
              <w:rPr>
                <w:rFonts w:hint="default" w:ascii="Times New Roman" w:hAnsi="Times New Roman" w:eastAsia="仿宋_GB2312" w:cs="Times New Roman"/>
                <w:color w:val="auto"/>
                <w:spacing w:val="-20"/>
                <w:sz w:val="24"/>
              </w:rPr>
            </w:pPr>
          </w:p>
          <w:p>
            <w:pPr>
              <w:spacing w:line="440" w:lineRule="exact"/>
              <w:jc w:val="center"/>
              <w:rPr>
                <w:rFonts w:hint="default" w:ascii="Times New Roman" w:hAnsi="Times New Roman" w:eastAsia="仿宋_GB2312" w:cs="Times New Roman"/>
                <w:color w:val="auto"/>
                <w:spacing w:val="-20"/>
                <w:sz w:val="24"/>
              </w:rPr>
            </w:pPr>
            <w:r>
              <w:rPr>
                <w:rFonts w:hint="default" w:ascii="Times New Roman" w:hAnsi="Times New Roman" w:eastAsia="仿宋_GB2312" w:cs="Times New Roman"/>
                <w:color w:val="auto"/>
                <w:spacing w:val="-20"/>
                <w:sz w:val="24"/>
              </w:rPr>
              <w:t>质</w:t>
            </w:r>
          </w:p>
          <w:p>
            <w:pPr>
              <w:spacing w:line="440" w:lineRule="exact"/>
              <w:jc w:val="center"/>
              <w:rPr>
                <w:rFonts w:hint="default" w:ascii="Times New Roman" w:hAnsi="Times New Roman" w:eastAsia="仿宋_GB2312" w:cs="Times New Roman"/>
                <w:color w:val="auto"/>
                <w:spacing w:val="-20"/>
                <w:sz w:val="24"/>
              </w:rPr>
            </w:pPr>
          </w:p>
          <w:p>
            <w:pPr>
              <w:spacing w:line="440" w:lineRule="exact"/>
              <w:jc w:val="center"/>
              <w:rPr>
                <w:rFonts w:hint="default" w:ascii="Times New Roman" w:hAnsi="Times New Roman" w:eastAsia="仿宋" w:cs="Times New Roman"/>
                <w:color w:val="auto"/>
                <w:spacing w:val="-20"/>
                <w:sz w:val="24"/>
              </w:rPr>
            </w:pPr>
            <w:r>
              <w:rPr>
                <w:rFonts w:hint="default" w:ascii="Times New Roman" w:hAnsi="Times New Roman" w:eastAsia="仿宋_GB2312" w:cs="Times New Roman"/>
                <w:color w:val="auto"/>
                <w:spacing w:val="-20"/>
                <w:sz w:val="24"/>
                <w:lang w:val="en-US" w:eastAsia="zh-CN"/>
              </w:rPr>
              <w:t>4</w:t>
            </w:r>
            <w:r>
              <w:rPr>
                <w:rFonts w:hint="default" w:ascii="Times New Roman" w:hAnsi="Times New Roman" w:eastAsia="仿宋_GB2312" w:cs="Times New Roman"/>
                <w:color w:val="auto"/>
                <w:spacing w:val="-20"/>
                <w:sz w:val="24"/>
              </w:rPr>
              <w:t>0分</w:t>
            </w:r>
          </w:p>
        </w:tc>
        <w:tc>
          <w:tcPr>
            <w:tcW w:w="112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color w:val="auto"/>
                <w:sz w:val="24"/>
                <w:lang w:eastAsia="zh-CN"/>
              </w:rPr>
            </w:pPr>
            <w:r>
              <w:rPr>
                <w:rFonts w:hint="default" w:ascii="Times New Roman" w:hAnsi="Times New Roman" w:eastAsia="仿宋_GB2312" w:cs="Times New Roman"/>
                <w:color w:val="auto"/>
                <w:sz w:val="24"/>
              </w:rPr>
              <w:t>1、企业</w:t>
            </w:r>
            <w:r>
              <w:rPr>
                <w:rFonts w:hint="default" w:ascii="Times New Roman" w:hAnsi="Times New Roman" w:eastAsia="仿宋_GB2312" w:cs="Times New Roman"/>
                <w:color w:val="auto"/>
                <w:sz w:val="24"/>
                <w:lang w:val="en-US" w:eastAsia="zh-CN"/>
              </w:rPr>
              <w:t>基本情况</w:t>
            </w:r>
          </w:p>
        </w:tc>
        <w:tc>
          <w:tcPr>
            <w:tcW w:w="2446" w:type="dxa"/>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line="440" w:lineRule="exact"/>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rPr>
              <w:t>企业注册资金</w:t>
            </w:r>
            <w:r>
              <w:rPr>
                <w:rFonts w:hint="default" w:ascii="Times New Roman" w:hAnsi="Times New Roman" w:eastAsia="仿宋_GB2312" w:cs="Times New Roman"/>
                <w:color w:val="auto"/>
                <w:sz w:val="24"/>
                <w:lang w:val="en-US" w:eastAsia="zh-CN"/>
              </w:rPr>
              <w:t>充足，具备固定资产和固定办公场所。</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color w:val="auto"/>
                <w:sz w:val="24"/>
                <w:lang w:eastAsia="zh-CN"/>
              </w:rPr>
            </w:pPr>
            <w:r>
              <w:rPr>
                <w:rFonts w:hint="default" w:ascii="Times New Roman" w:hAnsi="Times New Roman" w:eastAsia="仿宋_GB2312" w:cs="Times New Roman"/>
                <w:color w:val="auto"/>
                <w:sz w:val="24"/>
                <w:lang w:val="en-US" w:eastAsia="zh-CN"/>
              </w:rPr>
              <w:t>5</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rPr>
              <w:t>注册资金</w:t>
            </w:r>
            <w:r>
              <w:rPr>
                <w:rFonts w:hint="default" w:ascii="Times New Roman" w:hAnsi="Times New Roman" w:eastAsia="仿宋_GB2312" w:cs="Times New Roman"/>
                <w:color w:val="auto"/>
                <w:sz w:val="24"/>
                <w:lang w:val="en-US" w:eastAsia="zh-CN"/>
              </w:rPr>
              <w:t>不低于1000万</w:t>
            </w:r>
            <w:r>
              <w:rPr>
                <w:rFonts w:hint="default" w:ascii="Times New Roman" w:hAnsi="Times New Roman" w:eastAsia="仿宋_GB2312" w:cs="Times New Roman"/>
                <w:color w:val="auto"/>
                <w:sz w:val="24"/>
              </w:rPr>
              <w:t>，每减少10%扣0.5分</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2分</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w:t>
            </w:r>
            <w:r>
              <w:rPr>
                <w:rFonts w:hint="default" w:ascii="Times New Roman" w:hAnsi="Times New Roman" w:eastAsia="仿宋_GB2312" w:cs="Times New Roman"/>
                <w:color w:val="auto"/>
                <w:sz w:val="24"/>
                <w:lang w:val="en-US" w:eastAsia="zh-CN"/>
              </w:rPr>
              <w:t>企业固定资产净值不低500万，</w:t>
            </w:r>
            <w:r>
              <w:rPr>
                <w:rFonts w:hint="default" w:ascii="Times New Roman" w:hAnsi="Times New Roman" w:eastAsia="仿宋_GB2312" w:cs="Times New Roman"/>
                <w:color w:val="auto"/>
                <w:sz w:val="24"/>
              </w:rPr>
              <w:t>每减少10%扣0.5分</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2分</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w:t>
            </w:r>
            <w:r>
              <w:rPr>
                <w:rFonts w:hint="default" w:ascii="Times New Roman" w:hAnsi="Times New Roman" w:eastAsia="仿宋_GB2312" w:cs="Times New Roman"/>
                <w:color w:val="auto"/>
                <w:sz w:val="24"/>
                <w:lang w:val="en-US" w:eastAsia="zh-CN"/>
              </w:rPr>
              <w:t>有租用或购买的固定办公场所</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1分</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pacing w:val="-20"/>
                <w:sz w:val="24"/>
              </w:rPr>
            </w:pPr>
          </w:p>
        </w:tc>
        <w:tc>
          <w:tcPr>
            <w:tcW w:w="112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 w:cs="Times New Roman"/>
                <w:color w:val="auto"/>
                <w:sz w:val="24"/>
              </w:rPr>
            </w:pPr>
          </w:p>
        </w:tc>
        <w:tc>
          <w:tcPr>
            <w:tcW w:w="244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line="440" w:lineRule="exact"/>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企业专业人员</w:t>
            </w:r>
            <w:r>
              <w:rPr>
                <w:rFonts w:hint="default" w:ascii="Times New Roman" w:hAnsi="Times New Roman" w:eastAsia="仿宋_GB2312" w:cs="Times New Roman"/>
                <w:color w:val="auto"/>
                <w:sz w:val="24"/>
                <w:lang w:val="en-US" w:eastAsia="zh-CN"/>
              </w:rPr>
              <w:t>与</w:t>
            </w:r>
          </w:p>
          <w:p>
            <w:pPr>
              <w:widowControl/>
              <w:spacing w:before="100" w:beforeAutospacing="1" w:after="100" w:afterAutospacing="1" w:line="440" w:lineRule="exact"/>
              <w:rPr>
                <w:rFonts w:hint="default" w:ascii="Times New Roman" w:hAnsi="Times New Roman" w:eastAsia="仿宋" w:cs="Times New Roman"/>
                <w:color w:val="auto"/>
                <w:sz w:val="24"/>
                <w:lang w:eastAsia="zh-CN"/>
              </w:rPr>
            </w:pPr>
            <w:r>
              <w:rPr>
                <w:rFonts w:hint="default" w:ascii="Times New Roman" w:hAnsi="Times New Roman" w:eastAsia="仿宋_GB2312" w:cs="Times New Roman"/>
                <w:color w:val="auto"/>
                <w:sz w:val="24"/>
                <w:lang w:val="en-US" w:eastAsia="zh-CN"/>
              </w:rPr>
              <w:t>机构配置</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color w:val="auto"/>
                <w:sz w:val="24"/>
                <w:lang w:eastAsia="zh-CN"/>
              </w:rPr>
            </w:pPr>
            <w:r>
              <w:rPr>
                <w:rFonts w:hint="default" w:ascii="Times New Roman" w:hAnsi="Times New Roman" w:eastAsia="仿宋_GB2312" w:cs="Times New Roman"/>
                <w:color w:val="auto"/>
                <w:sz w:val="24"/>
                <w:lang w:val="en-US" w:eastAsia="zh-CN"/>
              </w:rPr>
              <w:t>5</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default" w:ascii="Times New Roman" w:hAnsi="Times New Roman" w:eastAsia="仿宋_GB2312" w:cs="Times New Roman"/>
                <w:color w:val="auto"/>
                <w:sz w:val="24"/>
                <w:lang w:eastAsia="zh-CN"/>
              </w:rPr>
            </w:pPr>
            <w:r>
              <w:rPr>
                <w:rFonts w:hint="default" w:ascii="Times New Roman" w:hAnsi="Times New Roman" w:eastAsia="仿宋_GB2312" w:cs="Times New Roman"/>
                <w:color w:val="auto"/>
                <w:sz w:val="24"/>
              </w:rPr>
              <w:t>企业</w:t>
            </w:r>
            <w:r>
              <w:rPr>
                <w:rFonts w:hint="default" w:ascii="Times New Roman" w:hAnsi="Times New Roman" w:eastAsia="仿宋_GB2312" w:cs="Times New Roman"/>
                <w:color w:val="auto"/>
                <w:sz w:val="24"/>
                <w:lang w:val="en-US" w:eastAsia="zh-CN"/>
              </w:rPr>
              <w:t>具有独立</w:t>
            </w:r>
            <w:r>
              <w:rPr>
                <w:rFonts w:hint="default" w:ascii="Times New Roman" w:hAnsi="Times New Roman" w:eastAsia="仿宋_GB2312" w:cs="Times New Roman"/>
                <w:color w:val="auto"/>
                <w:sz w:val="24"/>
              </w:rPr>
              <w:t>法人</w:t>
            </w:r>
            <w:r>
              <w:rPr>
                <w:rFonts w:hint="default" w:ascii="Times New Roman" w:hAnsi="Times New Roman" w:eastAsia="仿宋_GB2312" w:cs="Times New Roman"/>
                <w:color w:val="auto"/>
                <w:sz w:val="24"/>
                <w:lang w:eastAsia="zh-CN"/>
              </w:rPr>
              <w:t>；</w:t>
            </w:r>
          </w:p>
          <w:p>
            <w:pPr>
              <w:spacing w:line="440" w:lineRule="exact"/>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rPr>
              <w:t>总经理</w:t>
            </w:r>
            <w:r>
              <w:rPr>
                <w:rFonts w:hint="default" w:ascii="Times New Roman" w:hAnsi="Times New Roman" w:eastAsia="仿宋_GB2312" w:cs="Times New Roman"/>
                <w:color w:val="auto"/>
                <w:sz w:val="24"/>
                <w:lang w:val="en-US" w:eastAsia="zh-CN"/>
              </w:rPr>
              <w:t>具有五年以上从事园林绿化经营管理的资历或园林专业高级技术职称；</w:t>
            </w:r>
          </w:p>
          <w:p>
            <w:pPr>
              <w:spacing w:line="440" w:lineRule="exact"/>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企业总工程师具有园林专业高级技术职称；</w:t>
            </w:r>
          </w:p>
          <w:p>
            <w:pPr>
              <w:spacing w:line="44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lang w:val="en-US" w:eastAsia="zh-CN"/>
              </w:rPr>
              <w:t>总会计师</w:t>
            </w:r>
            <w:r>
              <w:rPr>
                <w:rFonts w:hint="default" w:ascii="Times New Roman" w:hAnsi="Times New Roman" w:eastAsia="仿宋_GB2312" w:cs="Times New Roman"/>
                <w:color w:val="auto"/>
                <w:sz w:val="24"/>
              </w:rPr>
              <w:t>、经济师</w:t>
            </w:r>
            <w:r>
              <w:rPr>
                <w:rFonts w:hint="default" w:ascii="Times New Roman" w:hAnsi="Times New Roman" w:eastAsia="仿宋_GB2312" w:cs="Times New Roman"/>
                <w:color w:val="auto"/>
                <w:sz w:val="24"/>
                <w:lang w:val="en-US" w:eastAsia="zh-CN"/>
              </w:rPr>
              <w:t>具有中级及以上技术职称。</w:t>
            </w:r>
            <w:r>
              <w:rPr>
                <w:rFonts w:hint="default" w:ascii="Times New Roman" w:hAnsi="Times New Roman" w:eastAsia="仿宋_GB2312" w:cs="Times New Roman"/>
                <w:color w:val="auto"/>
                <w:sz w:val="24"/>
              </w:rPr>
              <w:t>每少</w:t>
            </w: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人或有</w:t>
            </w: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人不合格扣1分。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pacing w:val="-20"/>
                <w:sz w:val="24"/>
              </w:rPr>
            </w:pPr>
          </w:p>
        </w:tc>
        <w:tc>
          <w:tcPr>
            <w:tcW w:w="112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 w:cs="Times New Roman"/>
                <w:color w:val="auto"/>
                <w:sz w:val="24"/>
              </w:rPr>
            </w:pPr>
          </w:p>
        </w:tc>
        <w:tc>
          <w:tcPr>
            <w:tcW w:w="244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 w:cs="Times New Roman"/>
                <w:color w:val="auto"/>
                <w:sz w:val="24"/>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20</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rPr>
              <w:t>企业</w:t>
            </w:r>
            <w:r>
              <w:rPr>
                <w:rFonts w:hint="default" w:ascii="Times New Roman" w:hAnsi="Times New Roman" w:eastAsia="仿宋_GB2312" w:cs="Times New Roman"/>
                <w:color w:val="auto"/>
                <w:sz w:val="24"/>
                <w:lang w:val="en-US" w:eastAsia="zh-CN"/>
              </w:rPr>
              <w:t>具</w:t>
            </w:r>
            <w:r>
              <w:rPr>
                <w:rFonts w:hint="default" w:ascii="Times New Roman" w:hAnsi="Times New Roman" w:eastAsia="仿宋_GB2312" w:cs="Times New Roman"/>
                <w:color w:val="auto"/>
                <w:sz w:val="24"/>
              </w:rPr>
              <w:t>有</w:t>
            </w:r>
            <w:r>
              <w:rPr>
                <w:rFonts w:hint="default" w:ascii="Times New Roman" w:hAnsi="Times New Roman" w:eastAsia="仿宋_GB2312" w:cs="Times New Roman"/>
                <w:color w:val="auto"/>
                <w:sz w:val="24"/>
                <w:lang w:val="en-US" w:eastAsia="zh-CN"/>
              </w:rPr>
              <w:t>完备的</w:t>
            </w:r>
            <w:r>
              <w:rPr>
                <w:rFonts w:hint="default" w:ascii="Times New Roman" w:hAnsi="Times New Roman" w:eastAsia="仿宋_GB2312" w:cs="Times New Roman"/>
                <w:color w:val="auto"/>
                <w:sz w:val="24"/>
              </w:rPr>
              <w:t>技术、管理、经济</w:t>
            </w:r>
            <w:r>
              <w:rPr>
                <w:rFonts w:hint="default" w:ascii="Times New Roman" w:hAnsi="Times New Roman" w:eastAsia="仿宋_GB2312" w:cs="Times New Roman"/>
                <w:color w:val="auto"/>
                <w:sz w:val="24"/>
                <w:lang w:val="en-US" w:eastAsia="zh-CN"/>
              </w:rPr>
              <w:t>管理</w:t>
            </w:r>
            <w:r>
              <w:rPr>
                <w:rFonts w:hint="default" w:ascii="Times New Roman" w:hAnsi="Times New Roman" w:eastAsia="仿宋_GB2312" w:cs="Times New Roman"/>
                <w:color w:val="auto"/>
                <w:sz w:val="24"/>
              </w:rPr>
              <w:t>人员</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中级职称以上</w:t>
            </w:r>
            <w:r>
              <w:rPr>
                <w:rFonts w:hint="default" w:ascii="Times New Roman" w:hAnsi="Times New Roman" w:eastAsia="仿宋_GB2312" w:cs="Times New Roman"/>
                <w:color w:val="auto"/>
                <w:sz w:val="24"/>
              </w:rPr>
              <w:t>数量</w:t>
            </w:r>
            <w:r>
              <w:rPr>
                <w:rFonts w:hint="default" w:ascii="Times New Roman" w:hAnsi="Times New Roman" w:eastAsia="仿宋_GB2312" w:cs="Times New Roman"/>
                <w:color w:val="auto"/>
                <w:sz w:val="24"/>
                <w:lang w:val="en-US" w:eastAsia="zh-CN"/>
              </w:rPr>
              <w:t>达10人，得基本分6分，其中园林专业</w:t>
            </w:r>
            <w:r>
              <w:rPr>
                <w:rFonts w:hint="default" w:ascii="Times New Roman" w:hAnsi="Times New Roman" w:eastAsia="仿宋_GB2312" w:cs="Times New Roman"/>
                <w:color w:val="auto"/>
                <w:sz w:val="24"/>
              </w:rPr>
              <w:t>中级</w:t>
            </w:r>
            <w:r>
              <w:rPr>
                <w:rFonts w:hint="default" w:ascii="Times New Roman" w:hAnsi="Times New Roman" w:eastAsia="仿宋_GB2312" w:cs="Times New Roman"/>
                <w:color w:val="auto"/>
                <w:sz w:val="24"/>
                <w:lang w:val="en-US" w:eastAsia="zh-CN"/>
              </w:rPr>
              <w:t>及</w:t>
            </w:r>
            <w:r>
              <w:rPr>
                <w:rFonts w:hint="default" w:ascii="Times New Roman" w:hAnsi="Times New Roman" w:eastAsia="仿宋_GB2312" w:cs="Times New Roman"/>
                <w:color w:val="auto"/>
                <w:sz w:val="24"/>
              </w:rPr>
              <w:t>以上</w:t>
            </w:r>
            <w:r>
              <w:rPr>
                <w:rFonts w:hint="default" w:ascii="Times New Roman" w:hAnsi="Times New Roman" w:eastAsia="仿宋_GB2312" w:cs="Times New Roman"/>
                <w:color w:val="auto"/>
                <w:sz w:val="24"/>
                <w:lang w:val="en-US" w:eastAsia="zh-CN"/>
              </w:rPr>
              <w:t>职称人员，每人加0.5分，园林专业高级职称人员加1分。企业具专业中级及以上技术工人达10人，得基本分6分，其中绿化工每人加0.5</w:t>
            </w:r>
            <w:r>
              <w:rPr>
                <w:rFonts w:hint="default" w:ascii="Times New Roman" w:hAnsi="Times New Roman" w:eastAsia="仿宋_GB2312" w:cs="Times New Roman"/>
                <w:color w:val="auto"/>
                <w:sz w:val="24"/>
              </w:rPr>
              <w:t>分。</w:t>
            </w:r>
            <w:r>
              <w:rPr>
                <w:rFonts w:hint="default" w:ascii="Times New Roman" w:hAnsi="Times New Roman" w:eastAsia="仿宋_GB2312" w:cs="Times New Roman"/>
                <w:color w:val="auto"/>
                <w:sz w:val="24"/>
                <w:lang w:val="en-US" w:eastAsia="zh-CN"/>
              </w:rPr>
              <w:t>累计总分不超过20分。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21"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pacing w:val="-20"/>
                <w:sz w:val="24"/>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2、企业信用制度管理</w:t>
            </w: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符合本企业特点的、完善的</w:t>
            </w:r>
            <w:r>
              <w:rPr>
                <w:rFonts w:hint="default" w:ascii="Times New Roman" w:hAnsi="Times New Roman" w:eastAsia="仿宋_GB2312" w:cs="Times New Roman"/>
                <w:color w:val="auto"/>
                <w:sz w:val="24"/>
                <w:lang w:val="en-US" w:eastAsia="zh-CN"/>
              </w:rPr>
              <w:t>信用</w:t>
            </w:r>
            <w:r>
              <w:rPr>
                <w:rFonts w:hint="default" w:ascii="Times New Roman" w:hAnsi="Times New Roman" w:eastAsia="仿宋_GB2312" w:cs="Times New Roman"/>
                <w:color w:val="auto"/>
                <w:sz w:val="24"/>
              </w:rPr>
              <w:t>管理制度。</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10</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40" w:lineRule="exact"/>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企业信用管理制度包括：信用管理机构、人员岗位责任制度、合同管理制度、</w:t>
            </w:r>
            <w:r>
              <w:rPr>
                <w:rFonts w:hint="default" w:ascii="Times New Roman" w:hAnsi="Times New Roman" w:eastAsia="仿宋_GB2312" w:cs="Times New Roman"/>
                <w:color w:val="auto"/>
                <w:sz w:val="24"/>
                <w:lang w:val="en-US" w:eastAsia="zh-CN"/>
              </w:rPr>
              <w:t>财务管理制度、</w:t>
            </w:r>
            <w:r>
              <w:rPr>
                <w:rFonts w:hint="default" w:ascii="Times New Roman" w:hAnsi="Times New Roman" w:eastAsia="仿宋_GB2312" w:cs="Times New Roman"/>
                <w:color w:val="auto"/>
                <w:sz w:val="24"/>
              </w:rPr>
              <w:t>客户资信调查制度、应收账款与商账追收制度、劳动用工制度、法定代表人授权委托制度等（</w:t>
            </w:r>
            <w:r>
              <w:rPr>
                <w:rFonts w:hint="default" w:ascii="Times New Roman" w:hAnsi="Times New Roman" w:eastAsia="仿宋_GB2312" w:cs="Times New Roman"/>
                <w:color w:val="auto"/>
                <w:sz w:val="24"/>
                <w:lang w:val="en-US" w:eastAsia="zh-CN"/>
              </w:rPr>
              <w:t>8</w:t>
            </w:r>
            <w:r>
              <w:rPr>
                <w:rFonts w:hint="default" w:ascii="Times New Roman" w:hAnsi="Times New Roman" w:eastAsia="仿宋_GB2312" w:cs="Times New Roman"/>
                <w:color w:val="auto"/>
                <w:sz w:val="24"/>
              </w:rPr>
              <w:t>分）。</w:t>
            </w:r>
          </w:p>
          <w:p>
            <w:pPr>
              <w:spacing w:line="44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有健全的信用管理机构和人员，并有企业领导负责日常信用管理工作</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企业法人信用记录良好。</w:t>
            </w:r>
            <w:r>
              <w:rPr>
                <w:rFonts w:hint="default" w:ascii="Times New Roman" w:hAnsi="Times New Roman" w:eastAsia="仿宋_GB2312" w:cs="Times New Roman"/>
                <w:color w:val="auto"/>
                <w:sz w:val="24"/>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60"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二、</w:t>
            </w:r>
          </w:p>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企</w:t>
            </w:r>
          </w:p>
          <w:p>
            <w:pPr>
              <w:spacing w:line="440" w:lineRule="exact"/>
              <w:jc w:val="center"/>
              <w:rPr>
                <w:rFonts w:hint="default" w:ascii="Times New Roman" w:hAnsi="Times New Roman" w:eastAsia="仿宋_GB2312" w:cs="Times New Roman"/>
                <w:color w:val="auto"/>
                <w:sz w:val="24"/>
              </w:rPr>
            </w:pPr>
          </w:p>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业</w:t>
            </w:r>
          </w:p>
          <w:p>
            <w:pPr>
              <w:spacing w:line="440" w:lineRule="exact"/>
              <w:jc w:val="center"/>
              <w:rPr>
                <w:rFonts w:hint="default" w:ascii="Times New Roman" w:hAnsi="Times New Roman" w:eastAsia="仿宋_GB2312" w:cs="Times New Roman"/>
                <w:color w:val="auto"/>
                <w:sz w:val="24"/>
              </w:rPr>
            </w:pPr>
          </w:p>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市</w:t>
            </w:r>
          </w:p>
          <w:p>
            <w:pPr>
              <w:spacing w:line="440" w:lineRule="exact"/>
              <w:jc w:val="center"/>
              <w:rPr>
                <w:rFonts w:hint="default" w:ascii="Times New Roman" w:hAnsi="Times New Roman" w:eastAsia="仿宋_GB2312" w:cs="Times New Roman"/>
                <w:color w:val="auto"/>
                <w:sz w:val="24"/>
              </w:rPr>
            </w:pPr>
          </w:p>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场</w:t>
            </w:r>
          </w:p>
          <w:p>
            <w:pPr>
              <w:spacing w:line="440" w:lineRule="exact"/>
              <w:jc w:val="center"/>
              <w:rPr>
                <w:rFonts w:hint="default" w:ascii="Times New Roman" w:hAnsi="Times New Roman" w:eastAsia="仿宋_GB2312" w:cs="Times New Roman"/>
                <w:color w:val="auto"/>
                <w:sz w:val="24"/>
              </w:rPr>
            </w:pPr>
          </w:p>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行</w:t>
            </w:r>
          </w:p>
          <w:p>
            <w:pPr>
              <w:spacing w:line="440" w:lineRule="exact"/>
              <w:jc w:val="center"/>
              <w:rPr>
                <w:rFonts w:hint="default" w:ascii="Times New Roman" w:hAnsi="Times New Roman" w:eastAsia="仿宋_GB2312" w:cs="Times New Roman"/>
                <w:color w:val="auto"/>
                <w:sz w:val="24"/>
              </w:rPr>
            </w:pPr>
          </w:p>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为</w:t>
            </w:r>
          </w:p>
          <w:p>
            <w:pPr>
              <w:spacing w:line="440" w:lineRule="exact"/>
              <w:jc w:val="center"/>
              <w:rPr>
                <w:rFonts w:hint="default" w:ascii="Times New Roman" w:hAnsi="Times New Roman" w:eastAsia="仿宋_GB2312" w:cs="Times New Roman"/>
                <w:color w:val="auto"/>
                <w:sz w:val="24"/>
              </w:rPr>
            </w:pPr>
          </w:p>
          <w:p>
            <w:pPr>
              <w:spacing w:line="440" w:lineRule="exact"/>
              <w:jc w:val="center"/>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lang w:val="en-US" w:eastAsia="zh-CN"/>
              </w:rPr>
              <w:t>40</w:t>
            </w:r>
            <w:r>
              <w:rPr>
                <w:rFonts w:hint="default" w:ascii="Times New Roman" w:hAnsi="Times New Roman" w:eastAsia="仿宋_GB2312" w:cs="Times New Roman"/>
                <w:color w:val="auto"/>
                <w:sz w:val="24"/>
              </w:rPr>
              <w:t>分</w:t>
            </w:r>
          </w:p>
        </w:tc>
        <w:tc>
          <w:tcPr>
            <w:tcW w:w="1129"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40" w:lineRule="exact"/>
              <w:jc w:val="center"/>
              <w:rPr>
                <w:rFonts w:hint="default" w:ascii="Times New Roman" w:hAnsi="Times New Roman" w:eastAsia="仿宋_GB2312" w:cs="Times New Roman"/>
                <w:color w:val="auto"/>
                <w:sz w:val="24"/>
              </w:rPr>
            </w:pPr>
          </w:p>
          <w:p>
            <w:pPr>
              <w:spacing w:line="440" w:lineRule="exact"/>
              <w:jc w:val="center"/>
              <w:rPr>
                <w:rFonts w:hint="default" w:ascii="Times New Roman" w:hAnsi="Times New Roman" w:eastAsia="仿宋_GB2312" w:cs="Times New Roman"/>
                <w:color w:val="auto"/>
                <w:sz w:val="24"/>
              </w:rPr>
            </w:pPr>
          </w:p>
          <w:p>
            <w:pPr>
              <w:spacing w:line="440" w:lineRule="exact"/>
              <w:jc w:val="center"/>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lang w:val="en-US" w:eastAsia="zh-CN"/>
              </w:rPr>
              <w:t>3</w:t>
            </w:r>
            <w:r>
              <w:rPr>
                <w:rFonts w:hint="default" w:ascii="Times New Roman" w:hAnsi="Times New Roman" w:eastAsia="仿宋_GB2312" w:cs="Times New Roman"/>
                <w:color w:val="auto"/>
                <w:sz w:val="24"/>
              </w:rPr>
              <w:t>、合同管理</w:t>
            </w: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合同签订、变更、终止</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eastAsia="zh-CN"/>
              </w:rPr>
            </w:pPr>
            <w:r>
              <w:rPr>
                <w:rFonts w:hint="default" w:ascii="Times New Roman" w:hAnsi="Times New Roman" w:eastAsia="仿宋_GB2312" w:cs="Times New Roman"/>
                <w:color w:val="auto"/>
                <w:sz w:val="24"/>
                <w:lang w:val="en-US" w:eastAsia="zh-CN"/>
              </w:rPr>
              <w:t>3</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依法订立、变更及终止合同（</w:t>
            </w: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分）；积极使用合同示范文本或合法使用合同格式条款（2）。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02"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z w:val="24"/>
              </w:rPr>
            </w:pPr>
          </w:p>
        </w:tc>
        <w:tc>
          <w:tcPr>
            <w:tcW w:w="112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 w:cs="Times New Roman"/>
                <w:color w:val="auto"/>
                <w:sz w:val="24"/>
              </w:rPr>
            </w:pP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合同台账、档案管理</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eastAsia="zh-CN"/>
              </w:rPr>
            </w:pPr>
            <w:r>
              <w:rPr>
                <w:rFonts w:hint="default" w:ascii="Times New Roman" w:hAnsi="Times New Roman" w:eastAsia="仿宋_GB2312" w:cs="Times New Roman"/>
                <w:color w:val="auto"/>
                <w:sz w:val="24"/>
                <w:lang w:val="en-US" w:eastAsia="zh-CN"/>
              </w:rPr>
              <w:t>3</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有规范、完整的合同台账和档案，能及时、准确地提供统计数据和有关资料；按规定办理合同登记和备案手续。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90"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z w:val="24"/>
              </w:rPr>
            </w:pPr>
          </w:p>
        </w:tc>
        <w:tc>
          <w:tcPr>
            <w:tcW w:w="112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 w:cs="Times New Roman"/>
                <w:color w:val="auto"/>
                <w:sz w:val="24"/>
              </w:rPr>
            </w:pPr>
          </w:p>
        </w:tc>
        <w:tc>
          <w:tcPr>
            <w:tcW w:w="2446" w:type="dxa"/>
            <w:vMerge w:val="restart"/>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履行合同过程遵守诚实信用原则</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eastAsia="zh-CN"/>
              </w:rPr>
            </w:pPr>
            <w:r>
              <w:rPr>
                <w:rFonts w:hint="default" w:ascii="Times New Roman" w:hAnsi="Times New Roman" w:eastAsia="仿宋_GB2312" w:cs="Times New Roman"/>
                <w:color w:val="auto"/>
                <w:sz w:val="24"/>
                <w:lang w:val="en-US" w:eastAsia="zh-CN"/>
              </w:rPr>
              <w:t>2</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除不可抗力和对方违约，以及经双方当事人协商变更、解除外，合同履约率达到100%。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z w:val="24"/>
              </w:rPr>
            </w:pPr>
          </w:p>
        </w:tc>
        <w:tc>
          <w:tcPr>
            <w:tcW w:w="112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 w:cs="Times New Roman"/>
                <w:color w:val="auto"/>
                <w:sz w:val="24"/>
              </w:rPr>
            </w:pPr>
          </w:p>
        </w:tc>
        <w:tc>
          <w:tcPr>
            <w:tcW w:w="244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 w:cs="Times New Roman"/>
                <w:color w:val="auto"/>
                <w:sz w:val="24"/>
              </w:rPr>
            </w:pP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eastAsia="zh-CN"/>
              </w:rPr>
            </w:pPr>
            <w:r>
              <w:rPr>
                <w:rFonts w:hint="default" w:ascii="Times New Roman" w:hAnsi="Times New Roman" w:eastAsia="仿宋_GB2312" w:cs="Times New Roman"/>
                <w:color w:val="auto"/>
                <w:sz w:val="24"/>
                <w:lang w:val="en-US" w:eastAsia="zh-CN"/>
              </w:rPr>
              <w:t>2</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自觉执行人民法院、仲裁机构依法做出的判（裁）决和裁定，或未发生类似纠纷。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z w:val="24"/>
              </w:rPr>
            </w:pPr>
          </w:p>
        </w:tc>
        <w:tc>
          <w:tcPr>
            <w:tcW w:w="1129" w:type="dxa"/>
            <w:vMerge w:val="restart"/>
            <w:tcBorders>
              <w:top w:val="single" w:color="auto" w:sz="4" w:space="0"/>
              <w:left w:val="single" w:color="auto" w:sz="4" w:space="0"/>
              <w:bottom w:val="single" w:color="auto" w:sz="4" w:space="0"/>
              <w:right w:val="single" w:color="auto" w:sz="4" w:space="0"/>
            </w:tcBorders>
            <w:noWrap w:val="0"/>
            <w:vAlign w:val="center"/>
          </w:tcPr>
          <w:p>
            <w:pPr>
              <w:numPr>
                <w:ilvl w:val="0"/>
                <w:numId w:val="1"/>
              </w:num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企业生产经营</w:t>
            </w:r>
          </w:p>
          <w:p>
            <w:pPr>
              <w:numPr>
                <w:ilvl w:val="0"/>
                <w:numId w:val="0"/>
              </w:numPr>
              <w:spacing w:line="440" w:lineRule="exact"/>
              <w:jc w:val="both"/>
              <w:rPr>
                <w:rFonts w:hint="default" w:ascii="Times New Roman" w:hAnsi="Times New Roman" w:eastAsia="仿宋" w:cs="Times New Roman"/>
                <w:color w:val="auto"/>
                <w:sz w:val="24"/>
                <w:lang w:eastAsia="zh-CN"/>
              </w:rPr>
            </w:pP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企业在生产经营活动中遵纪守法，</w:t>
            </w:r>
            <w:r>
              <w:rPr>
                <w:rFonts w:hint="default" w:ascii="Times New Roman" w:hAnsi="Times New Roman" w:eastAsia="仿宋_GB2312" w:cs="Times New Roman"/>
                <w:color w:val="auto"/>
                <w:sz w:val="24"/>
                <w:lang w:val="en-US" w:eastAsia="zh-CN"/>
              </w:rPr>
              <w:t>按实纳税，</w:t>
            </w:r>
            <w:r>
              <w:rPr>
                <w:rFonts w:hint="default" w:ascii="Times New Roman" w:hAnsi="Times New Roman" w:eastAsia="仿宋_GB2312" w:cs="Times New Roman"/>
                <w:color w:val="auto"/>
                <w:sz w:val="24"/>
              </w:rPr>
              <w:t>经营信用良好。</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20</w:t>
            </w:r>
          </w:p>
        </w:tc>
        <w:tc>
          <w:tcPr>
            <w:tcW w:w="4446" w:type="dxa"/>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严格执行国家规定的劳动用工制度，劳动合同规范，不拖欠工人工资，及时为员工办理社会保险（</w:t>
            </w: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分）；不存在商业贿赂行为，无不正当竞争、无恶意竞标、违法分包行为（</w:t>
            </w:r>
            <w:r>
              <w:rPr>
                <w:rFonts w:hint="default" w:ascii="Times New Roman" w:hAnsi="Times New Roman" w:eastAsia="仿宋_GB2312" w:cs="Times New Roman"/>
                <w:color w:val="auto"/>
                <w:sz w:val="24"/>
                <w:lang w:val="en-US" w:eastAsia="zh-CN"/>
              </w:rPr>
              <w:t>4</w:t>
            </w:r>
            <w:r>
              <w:rPr>
                <w:rFonts w:hint="default" w:ascii="Times New Roman" w:hAnsi="Times New Roman" w:eastAsia="仿宋_GB2312" w:cs="Times New Roman"/>
                <w:color w:val="auto"/>
                <w:sz w:val="24"/>
              </w:rPr>
              <w:t>分）。</w:t>
            </w:r>
            <w:r>
              <w:rPr>
                <w:rFonts w:hint="default" w:ascii="Times New Roman" w:hAnsi="Times New Roman" w:eastAsia="仿宋_GB2312" w:cs="Times New Roman"/>
                <w:color w:val="auto"/>
                <w:sz w:val="24"/>
                <w:lang w:val="en-US" w:eastAsia="zh-CN"/>
              </w:rPr>
              <w:t>鼓励诚信纳税，评价年度内企业实际缴纳税款总额标准值为100万，得基本得分5分，超过标准值20%（含20%）加1分，该项累计不超过10分；企业缴纳税款总额低于标准，每低于标准的10%（不含10%）扣1分，扣完为止。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6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z w:val="24"/>
              </w:rPr>
            </w:pPr>
          </w:p>
        </w:tc>
        <w:tc>
          <w:tcPr>
            <w:tcW w:w="112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 w:cs="Times New Roman"/>
                <w:color w:val="auto"/>
                <w:sz w:val="24"/>
              </w:rPr>
            </w:pP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工程管理、工程质量严格执行国家、地方及行业的园林施工规程规范。</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10</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重视园林绿化</w:t>
            </w:r>
            <w:r>
              <w:rPr>
                <w:rFonts w:hint="default" w:ascii="Times New Roman" w:hAnsi="Times New Roman" w:eastAsia="仿宋_GB2312" w:cs="Times New Roman"/>
                <w:color w:val="auto"/>
                <w:sz w:val="24"/>
                <w:lang w:val="en-US" w:eastAsia="zh-CN"/>
              </w:rPr>
              <w:t>工程</w:t>
            </w:r>
            <w:r>
              <w:rPr>
                <w:rFonts w:hint="default" w:ascii="Times New Roman" w:hAnsi="Times New Roman" w:eastAsia="仿宋_GB2312" w:cs="Times New Roman"/>
                <w:color w:val="auto"/>
                <w:sz w:val="24"/>
              </w:rPr>
              <w:t>质量，有严格的质量管理制度</w:t>
            </w:r>
            <w:r>
              <w:rPr>
                <w:rFonts w:hint="default" w:ascii="Times New Roman" w:hAnsi="Times New Roman" w:eastAsia="仿宋_GB2312" w:cs="Times New Roman"/>
                <w:color w:val="auto"/>
                <w:sz w:val="24"/>
                <w:lang w:val="en-US" w:eastAsia="zh-CN"/>
              </w:rPr>
              <w:t>和</w:t>
            </w:r>
            <w:r>
              <w:rPr>
                <w:rFonts w:hint="default" w:ascii="Times New Roman" w:hAnsi="Times New Roman" w:eastAsia="仿宋_GB2312" w:cs="Times New Roman"/>
                <w:color w:val="auto"/>
                <w:sz w:val="24"/>
              </w:rPr>
              <w:t>有良好的后期服务（</w:t>
            </w: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分）；</w:t>
            </w:r>
            <w:r>
              <w:rPr>
                <w:rFonts w:hint="default" w:ascii="Times New Roman" w:hAnsi="Times New Roman" w:eastAsia="仿宋_GB2312" w:cs="Times New Roman"/>
                <w:color w:val="auto"/>
                <w:sz w:val="24"/>
                <w:lang w:val="en-US" w:eastAsia="zh-CN"/>
              </w:rPr>
              <w:t>注重安全生产和文明施工管理，有安全文明施工制度和记录（2分）；代表性园林绿化工程开展质量综合评价，结果优良</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w:t>
            </w:r>
            <w:r>
              <w:rPr>
                <w:rFonts w:hint="default" w:ascii="Times New Roman" w:hAnsi="Times New Roman" w:eastAsia="仿宋_GB2312" w:cs="Times New Roman"/>
                <w:color w:val="auto"/>
                <w:sz w:val="24"/>
                <w:lang w:val="en-US" w:eastAsia="zh-CN"/>
              </w:rPr>
              <w:t>6</w:t>
            </w:r>
            <w:r>
              <w:rPr>
                <w:rFonts w:hint="default" w:ascii="Times New Roman" w:hAnsi="Times New Roman" w:eastAsia="仿宋_GB2312" w:cs="Times New Roman"/>
                <w:color w:val="auto"/>
                <w:sz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7" w:hRule="atLeast"/>
          <w:jc w:val="center"/>
        </w:trPr>
        <w:tc>
          <w:tcPr>
            <w:tcW w:w="760" w:type="dxa"/>
            <w:vMerge w:val="restart"/>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三、</w:t>
            </w:r>
          </w:p>
          <w:p>
            <w:pPr>
              <w:widowControl/>
              <w:jc w:val="center"/>
              <w:rPr>
                <w:rFonts w:hint="default" w:ascii="Times New Roman" w:hAnsi="Times New Roman" w:eastAsia="仿宋_GB2312" w:cs="Times New Roman"/>
                <w:color w:val="auto"/>
                <w:sz w:val="24"/>
                <w:lang w:val="en-US" w:eastAsia="zh-CN"/>
              </w:rPr>
            </w:pPr>
          </w:p>
          <w:p>
            <w:pPr>
              <w:widowControl/>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企业业绩情况</w:t>
            </w:r>
          </w:p>
          <w:p>
            <w:pPr>
              <w:widowControl/>
              <w:jc w:val="center"/>
              <w:rPr>
                <w:rFonts w:hint="default" w:ascii="Times New Roman" w:hAnsi="Times New Roman" w:eastAsia="仿宋_GB2312" w:cs="Times New Roman"/>
                <w:color w:val="auto"/>
                <w:sz w:val="24"/>
                <w:lang w:val="en-US" w:eastAsia="zh-CN"/>
              </w:rPr>
            </w:pPr>
          </w:p>
          <w:p>
            <w:pPr>
              <w:widowControl/>
              <w:jc w:val="center"/>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20分</w:t>
            </w:r>
          </w:p>
          <w:p>
            <w:pPr>
              <w:widowControl/>
              <w:jc w:val="center"/>
              <w:rPr>
                <w:rFonts w:hint="default" w:ascii="Times New Roman" w:hAnsi="Times New Roman" w:eastAsia="仿宋" w:cs="Times New Roman"/>
                <w:color w:val="auto"/>
                <w:sz w:val="24"/>
                <w:lang w:val="en-US" w:eastAsia="zh-CN"/>
              </w:rPr>
            </w:pPr>
          </w:p>
        </w:tc>
        <w:tc>
          <w:tcPr>
            <w:tcW w:w="1129" w:type="dxa"/>
            <w:vMerge w:val="restart"/>
            <w:tcBorders>
              <w:top w:val="single" w:color="auto" w:sz="4" w:space="0"/>
              <w:left w:val="single" w:color="auto" w:sz="4" w:space="0"/>
              <w:right w:val="single" w:color="auto" w:sz="4" w:space="0"/>
            </w:tcBorders>
            <w:noWrap w:val="0"/>
            <w:vAlign w:val="center"/>
          </w:tcPr>
          <w:p>
            <w:pPr>
              <w:widowControl/>
              <w:ind w:left="240" w:hanging="240" w:hangingChars="100"/>
              <w:jc w:val="left"/>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5、业绩情况</w:t>
            </w: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业绩产值</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10</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_GB2312" w:cs="Times New Roman"/>
                <w:color w:val="auto"/>
                <w:sz w:val="24"/>
                <w:lang w:val="en-US" w:eastAsia="zh-CN"/>
              </w:rPr>
            </w:pPr>
            <w:r>
              <w:rPr>
                <w:rFonts w:hint="default" w:ascii="Times New Roman" w:hAnsi="Times New Roman" w:eastAsia="仿宋_GB2312" w:cs="Times New Roman"/>
                <w:color w:val="auto"/>
                <w:sz w:val="24"/>
                <w:lang w:val="en-US" w:eastAsia="zh-CN"/>
              </w:rPr>
              <w:t>近三年有5个产值在600万以上的代表业绩，少一个扣1分；（5分）</w:t>
            </w:r>
          </w:p>
          <w:p>
            <w:pPr>
              <w:spacing w:line="400" w:lineRule="exact"/>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评价年度内工程业绩产值达1000万以上，每减少100万，扣0.5分。（5分）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1" w:hRule="atLeast"/>
          <w:jc w:val="center"/>
        </w:trPr>
        <w:tc>
          <w:tcPr>
            <w:tcW w:w="760" w:type="dxa"/>
            <w:vMerge w:val="continue"/>
            <w:tcBorders>
              <w:top w:val="single" w:color="auto" w:sz="4" w:space="0"/>
              <w:left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z w:val="24"/>
              </w:rPr>
            </w:pPr>
          </w:p>
        </w:tc>
        <w:tc>
          <w:tcPr>
            <w:tcW w:w="1129" w:type="dxa"/>
            <w:vMerge w:val="continue"/>
            <w:tcBorders>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 w:cs="Times New Roman"/>
                <w:color w:val="auto"/>
                <w:sz w:val="24"/>
              </w:rPr>
            </w:pP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工程项目规范化管理</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5</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5个代表性业绩中标通知书、项目合同规范完整，开工报告、竣工验收手续齐全，并按要求进行备案。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3" w:hRule="atLeast"/>
          <w:jc w:val="center"/>
        </w:trPr>
        <w:tc>
          <w:tcPr>
            <w:tcW w:w="760"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z w:val="24"/>
              </w:rPr>
            </w:pPr>
          </w:p>
        </w:tc>
        <w:tc>
          <w:tcPr>
            <w:tcW w:w="1129" w:type="dxa"/>
            <w:tcBorders>
              <w:top w:val="single" w:color="auto" w:sz="4" w:space="0"/>
              <w:left w:val="single" w:color="auto" w:sz="4" w:space="0"/>
              <w:bottom w:val="single" w:color="auto" w:sz="4" w:space="0"/>
              <w:right w:val="single" w:color="auto" w:sz="4" w:space="0"/>
            </w:tcBorders>
            <w:noWrap w:val="0"/>
            <w:vAlign w:val="center"/>
          </w:tcPr>
          <w:p>
            <w:pPr>
              <w:widowControl/>
              <w:ind w:left="240" w:hanging="240" w:hangingChars="100"/>
              <w:jc w:val="left"/>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6、业主评价</w:t>
            </w: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业主评价</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5</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评价年度内项目业主满意度100%，每降低10%，扣2分，扣完为止。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2" w:hRule="atLeast"/>
          <w:jc w:val="center"/>
        </w:trPr>
        <w:tc>
          <w:tcPr>
            <w:tcW w:w="760" w:type="dxa"/>
            <w:vMerge w:val="restart"/>
            <w:tcBorders>
              <w:top w:val="single" w:color="auto" w:sz="4" w:space="0"/>
              <w:left w:val="single" w:color="auto" w:sz="4" w:space="0"/>
              <w:right w:val="single" w:color="auto" w:sz="4" w:space="0"/>
            </w:tcBorders>
            <w:noWrap w:val="0"/>
            <w:vAlign w:val="center"/>
          </w:tcPr>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lang w:val="en-US" w:eastAsia="zh-CN"/>
              </w:rPr>
              <w:t>四</w:t>
            </w:r>
            <w:r>
              <w:rPr>
                <w:rFonts w:hint="default" w:ascii="Times New Roman" w:hAnsi="Times New Roman" w:eastAsia="仿宋_GB2312" w:cs="Times New Roman"/>
                <w:color w:val="auto"/>
                <w:sz w:val="24"/>
              </w:rPr>
              <w:t>、</w:t>
            </w:r>
          </w:p>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附</w:t>
            </w:r>
          </w:p>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加</w:t>
            </w:r>
          </w:p>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指</w:t>
            </w:r>
          </w:p>
          <w:p>
            <w:pPr>
              <w:spacing w:line="440" w:lineRule="exact"/>
              <w:jc w:val="center"/>
              <w:rPr>
                <w:rFonts w:hint="default" w:ascii="Times New Roman" w:hAnsi="Times New Roman" w:eastAsia="仿宋_GB2312" w:cs="Times New Roman"/>
                <w:color w:val="auto"/>
                <w:sz w:val="24"/>
              </w:rPr>
            </w:pPr>
            <w:r>
              <w:rPr>
                <w:rFonts w:hint="default" w:ascii="Times New Roman" w:hAnsi="Times New Roman" w:eastAsia="仿宋_GB2312" w:cs="Times New Roman"/>
                <w:color w:val="auto"/>
                <w:sz w:val="24"/>
              </w:rPr>
              <w:t>标</w:t>
            </w:r>
          </w:p>
          <w:p>
            <w:pPr>
              <w:spacing w:line="440" w:lineRule="exact"/>
              <w:jc w:val="center"/>
              <w:rPr>
                <w:rFonts w:hint="default" w:ascii="Times New Roman" w:hAnsi="Times New Roman" w:eastAsia="仿宋_GB2312" w:cs="Times New Roman"/>
                <w:color w:val="auto"/>
                <w:sz w:val="24"/>
                <w:lang w:val="en-US" w:eastAsia="zh-CN"/>
              </w:rPr>
            </w:pPr>
          </w:p>
          <w:p>
            <w:pPr>
              <w:spacing w:line="44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20分</w:t>
            </w:r>
          </w:p>
        </w:tc>
        <w:tc>
          <w:tcPr>
            <w:tcW w:w="1129" w:type="dxa"/>
            <w:vMerge w:val="restart"/>
            <w:tcBorders>
              <w:top w:val="single" w:color="auto" w:sz="4" w:space="0"/>
              <w:left w:val="single" w:color="auto" w:sz="4" w:space="0"/>
              <w:right w:val="single" w:color="auto" w:sz="4" w:space="0"/>
            </w:tcBorders>
            <w:noWrap w:val="0"/>
            <w:vAlign w:val="center"/>
          </w:tcPr>
          <w:p>
            <w:pPr>
              <w:spacing w:line="440" w:lineRule="exact"/>
              <w:jc w:val="center"/>
              <w:rPr>
                <w:rFonts w:hint="default" w:ascii="Times New Roman" w:hAnsi="Times New Roman" w:eastAsia="仿宋" w:cs="Times New Roman"/>
                <w:color w:val="auto"/>
                <w:sz w:val="24"/>
              </w:rPr>
            </w:pP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rPr>
              <w:t>获奖</w:t>
            </w:r>
            <w:r>
              <w:rPr>
                <w:rFonts w:hint="default" w:ascii="Times New Roman" w:hAnsi="Times New Roman" w:eastAsia="仿宋_GB2312" w:cs="Times New Roman"/>
                <w:color w:val="auto"/>
                <w:sz w:val="24"/>
                <w:lang w:val="en-US" w:eastAsia="zh-CN"/>
              </w:rPr>
              <w:t>情况</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10</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近三年竣工项目</w:t>
            </w:r>
            <w:r>
              <w:rPr>
                <w:rFonts w:hint="default" w:ascii="Times New Roman" w:hAnsi="Times New Roman" w:eastAsia="仿宋_GB2312" w:cs="Times New Roman"/>
                <w:color w:val="auto"/>
                <w:sz w:val="24"/>
              </w:rPr>
              <w:t>获</w:t>
            </w:r>
            <w:r>
              <w:rPr>
                <w:rFonts w:hint="default" w:ascii="Times New Roman" w:hAnsi="Times New Roman" w:eastAsia="仿宋_GB2312" w:cs="Times New Roman"/>
                <w:color w:val="auto"/>
                <w:sz w:val="24"/>
                <w:lang w:val="en-US" w:eastAsia="zh-CN"/>
              </w:rPr>
              <w:t>经政府批准的</w:t>
            </w:r>
            <w:r>
              <w:rPr>
                <w:rFonts w:hint="default" w:ascii="Times New Roman" w:hAnsi="Times New Roman" w:eastAsia="仿宋_GB2312" w:cs="Times New Roman"/>
                <w:color w:val="auto"/>
                <w:sz w:val="24"/>
              </w:rPr>
              <w:t>国家</w:t>
            </w:r>
            <w:r>
              <w:rPr>
                <w:rFonts w:hint="default" w:ascii="Times New Roman" w:hAnsi="Times New Roman" w:eastAsia="仿宋_GB2312" w:cs="Times New Roman"/>
                <w:color w:val="auto"/>
                <w:sz w:val="24"/>
                <w:lang w:val="en-US" w:eastAsia="zh-CN"/>
              </w:rPr>
              <w:t>级</w:t>
            </w:r>
            <w:r>
              <w:rPr>
                <w:rFonts w:hint="default" w:ascii="Times New Roman" w:hAnsi="Times New Roman" w:eastAsia="仿宋_GB2312" w:cs="Times New Roman"/>
                <w:color w:val="auto"/>
                <w:sz w:val="24"/>
              </w:rPr>
              <w:t>奖</w:t>
            </w:r>
            <w:r>
              <w:rPr>
                <w:rFonts w:hint="default" w:ascii="Times New Roman" w:hAnsi="Times New Roman" w:eastAsia="仿宋_GB2312" w:cs="Times New Roman"/>
                <w:color w:val="auto"/>
                <w:sz w:val="24"/>
                <w:lang w:val="en-US" w:eastAsia="zh-CN"/>
              </w:rPr>
              <w:t>项1项</w:t>
            </w:r>
            <w:r>
              <w:rPr>
                <w:rFonts w:hint="default" w:ascii="Times New Roman" w:hAnsi="Times New Roman" w:eastAsia="仿宋_GB2312" w:cs="Times New Roman"/>
                <w:color w:val="auto"/>
                <w:sz w:val="24"/>
              </w:rPr>
              <w:t>得</w:t>
            </w:r>
            <w:r>
              <w:rPr>
                <w:rFonts w:hint="default" w:ascii="Times New Roman" w:hAnsi="Times New Roman" w:eastAsia="仿宋_GB2312" w:cs="Times New Roman"/>
                <w:color w:val="auto"/>
                <w:sz w:val="24"/>
                <w:lang w:val="en-US" w:eastAsia="zh-CN"/>
              </w:rPr>
              <w:t>5</w:t>
            </w:r>
            <w:r>
              <w:rPr>
                <w:rFonts w:hint="default" w:ascii="Times New Roman" w:hAnsi="Times New Roman" w:eastAsia="仿宋_GB2312" w:cs="Times New Roman"/>
                <w:color w:val="auto"/>
                <w:sz w:val="24"/>
              </w:rPr>
              <w:t>分，省优质工程</w:t>
            </w:r>
            <w:r>
              <w:rPr>
                <w:rFonts w:hint="default" w:ascii="Times New Roman" w:hAnsi="Times New Roman" w:eastAsia="仿宋_GB2312" w:cs="Times New Roman"/>
                <w:color w:val="auto"/>
                <w:sz w:val="24"/>
                <w:lang w:val="en-US" w:eastAsia="zh-CN"/>
              </w:rPr>
              <w:t>1项</w:t>
            </w:r>
            <w:r>
              <w:rPr>
                <w:rFonts w:hint="default" w:ascii="Times New Roman" w:hAnsi="Times New Roman" w:eastAsia="仿宋_GB2312" w:cs="Times New Roman"/>
                <w:color w:val="auto"/>
                <w:sz w:val="24"/>
              </w:rPr>
              <w:t>得3分，市级优质工程</w:t>
            </w:r>
            <w:r>
              <w:rPr>
                <w:rFonts w:hint="default" w:ascii="Times New Roman" w:hAnsi="Times New Roman" w:eastAsia="仿宋_GB2312" w:cs="Times New Roman"/>
                <w:color w:val="auto"/>
                <w:sz w:val="24"/>
                <w:lang w:val="en-US" w:eastAsia="zh-CN"/>
              </w:rPr>
              <w:t>1项</w:t>
            </w:r>
            <w:r>
              <w:rPr>
                <w:rFonts w:hint="default" w:ascii="Times New Roman" w:hAnsi="Times New Roman" w:eastAsia="仿宋_GB2312" w:cs="Times New Roman"/>
                <w:color w:val="auto"/>
                <w:sz w:val="24"/>
              </w:rPr>
              <w:t>得1分。获奖工程以最高奖计分，不重复计算。获得</w:t>
            </w:r>
            <w:r>
              <w:rPr>
                <w:rFonts w:hint="default" w:ascii="Times New Roman" w:hAnsi="Times New Roman" w:eastAsia="仿宋_GB2312" w:cs="Times New Roman"/>
                <w:color w:val="auto"/>
                <w:sz w:val="24"/>
                <w:lang w:val="en-US" w:eastAsia="zh-CN"/>
              </w:rPr>
              <w:t>市级以上</w:t>
            </w:r>
            <w:r>
              <w:rPr>
                <w:rFonts w:hint="default" w:ascii="Times New Roman" w:hAnsi="Times New Roman" w:eastAsia="仿宋_GB2312" w:cs="Times New Roman"/>
                <w:color w:val="auto"/>
                <w:sz w:val="24"/>
              </w:rPr>
              <w:t>“守合同重信用”企业得</w:t>
            </w: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分，获得银行AAA信用企业得</w:t>
            </w: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分</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获得</w:t>
            </w:r>
            <w:r>
              <w:rPr>
                <w:rFonts w:hint="default" w:ascii="Times New Roman" w:hAnsi="Times New Roman" w:eastAsia="仿宋_GB2312" w:cs="Times New Roman"/>
                <w:color w:val="auto"/>
                <w:sz w:val="24"/>
                <w:lang w:val="en-US" w:eastAsia="zh-CN"/>
              </w:rPr>
              <w:t>税务</w:t>
            </w:r>
            <w:r>
              <w:rPr>
                <w:rFonts w:hint="default" w:ascii="Times New Roman" w:hAnsi="Times New Roman" w:eastAsia="仿宋_GB2312" w:cs="Times New Roman"/>
                <w:color w:val="auto"/>
                <w:sz w:val="24"/>
              </w:rPr>
              <w:t>A</w:t>
            </w:r>
            <w:r>
              <w:rPr>
                <w:rFonts w:hint="default" w:ascii="Times New Roman" w:hAnsi="Times New Roman" w:eastAsia="仿宋_GB2312" w:cs="Times New Roman"/>
                <w:color w:val="auto"/>
                <w:sz w:val="24"/>
                <w:lang w:val="en-US" w:eastAsia="zh-CN"/>
              </w:rPr>
              <w:t>级</w:t>
            </w:r>
            <w:r>
              <w:rPr>
                <w:rFonts w:hint="default" w:ascii="Times New Roman" w:hAnsi="Times New Roman" w:eastAsia="仿宋_GB2312" w:cs="Times New Roman"/>
                <w:color w:val="auto"/>
                <w:sz w:val="24"/>
              </w:rPr>
              <w:t>信用企业得</w:t>
            </w: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分</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累计获奖加分不超过10分。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0" w:hRule="atLeast"/>
          <w:jc w:val="center"/>
        </w:trPr>
        <w:tc>
          <w:tcPr>
            <w:tcW w:w="760" w:type="dxa"/>
            <w:vMerge w:val="continue"/>
            <w:tcBorders>
              <w:left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z w:val="24"/>
              </w:rPr>
            </w:pPr>
          </w:p>
        </w:tc>
        <w:tc>
          <w:tcPr>
            <w:tcW w:w="1129" w:type="dxa"/>
            <w:vMerge w:val="continue"/>
            <w:tcBorders>
              <w:left w:val="single" w:color="auto" w:sz="4" w:space="0"/>
              <w:right w:val="single" w:color="auto" w:sz="4" w:space="0"/>
            </w:tcBorders>
            <w:noWrap w:val="0"/>
            <w:vAlign w:val="center"/>
          </w:tcPr>
          <w:p>
            <w:pPr>
              <w:widowControl/>
              <w:jc w:val="left"/>
              <w:rPr>
                <w:rFonts w:hint="default" w:ascii="Times New Roman" w:hAnsi="Times New Roman" w:eastAsia="仿宋" w:cs="Times New Roman"/>
                <w:color w:val="auto"/>
                <w:sz w:val="24"/>
              </w:rPr>
            </w:pP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rPr>
              <w:t>热心社会公益事业</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eastAsia="zh-CN"/>
              </w:rPr>
            </w:pPr>
            <w:r>
              <w:rPr>
                <w:rFonts w:hint="default" w:ascii="Times New Roman" w:hAnsi="Times New Roman" w:eastAsia="仿宋_GB2312" w:cs="Times New Roman"/>
                <w:color w:val="auto"/>
                <w:sz w:val="24"/>
                <w:lang w:val="en-US" w:eastAsia="zh-CN"/>
              </w:rPr>
              <w:t>5</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rPr>
            </w:pPr>
            <w:r>
              <w:rPr>
                <w:rFonts w:hint="default" w:ascii="Times New Roman" w:hAnsi="Times New Roman" w:eastAsia="仿宋_GB2312" w:cs="Times New Roman"/>
                <w:color w:val="auto"/>
                <w:sz w:val="24"/>
                <w:lang w:val="en-US" w:eastAsia="zh-CN"/>
              </w:rPr>
              <w:t>企业及其法人</w:t>
            </w:r>
            <w:r>
              <w:rPr>
                <w:rFonts w:hint="default" w:ascii="Times New Roman" w:hAnsi="Times New Roman" w:eastAsia="仿宋_GB2312" w:cs="Times New Roman"/>
                <w:color w:val="auto"/>
                <w:sz w:val="24"/>
              </w:rPr>
              <w:t>热心公益事业</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rPr>
              <w:t>获省级</w:t>
            </w:r>
            <w:r>
              <w:rPr>
                <w:rFonts w:hint="default" w:ascii="Times New Roman" w:hAnsi="Times New Roman" w:eastAsia="仿宋_GB2312" w:cs="Times New Roman"/>
                <w:color w:val="auto"/>
                <w:sz w:val="24"/>
                <w:lang w:val="en-US" w:eastAsia="zh-CN"/>
              </w:rPr>
              <w:t>及</w:t>
            </w:r>
            <w:r>
              <w:rPr>
                <w:rFonts w:hint="default" w:ascii="Times New Roman" w:hAnsi="Times New Roman" w:eastAsia="仿宋_GB2312" w:cs="Times New Roman"/>
                <w:color w:val="auto"/>
                <w:sz w:val="24"/>
              </w:rPr>
              <w:t>以上媒体宣传报道</w:t>
            </w:r>
            <w:r>
              <w:rPr>
                <w:rFonts w:hint="default" w:ascii="Times New Roman" w:hAnsi="Times New Roman" w:eastAsia="仿宋_GB2312" w:cs="Times New Roman"/>
                <w:color w:val="auto"/>
                <w:sz w:val="24"/>
                <w:lang w:val="en-US" w:eastAsia="zh-CN"/>
              </w:rPr>
              <w:t>一次</w:t>
            </w:r>
            <w:r>
              <w:rPr>
                <w:rFonts w:hint="default" w:ascii="Times New Roman" w:hAnsi="Times New Roman" w:eastAsia="仿宋_GB2312" w:cs="Times New Roman"/>
                <w:color w:val="auto"/>
                <w:sz w:val="24"/>
              </w:rPr>
              <w:t>得</w:t>
            </w:r>
            <w:r>
              <w:rPr>
                <w:rFonts w:hint="default" w:ascii="Times New Roman" w:hAnsi="Times New Roman" w:eastAsia="仿宋_GB2312" w:cs="Times New Roman"/>
                <w:color w:val="auto"/>
                <w:sz w:val="24"/>
                <w:lang w:val="en-US" w:eastAsia="zh-CN"/>
              </w:rPr>
              <w:t>2</w:t>
            </w:r>
            <w:r>
              <w:rPr>
                <w:rFonts w:hint="default" w:ascii="Times New Roman" w:hAnsi="Times New Roman" w:eastAsia="仿宋_GB2312" w:cs="Times New Roman"/>
                <w:color w:val="auto"/>
                <w:sz w:val="24"/>
              </w:rPr>
              <w:t>分。积极参与扶贫帮困、抢险救灾</w:t>
            </w:r>
            <w:r>
              <w:rPr>
                <w:rFonts w:hint="default" w:ascii="Times New Roman" w:hAnsi="Times New Roman" w:eastAsia="仿宋_GB2312" w:cs="Times New Roman"/>
                <w:color w:val="auto"/>
                <w:sz w:val="24"/>
                <w:lang w:val="en-US" w:eastAsia="zh-CN"/>
              </w:rPr>
              <w:t>一次</w:t>
            </w:r>
            <w:r>
              <w:rPr>
                <w:rFonts w:hint="default" w:ascii="Times New Roman" w:hAnsi="Times New Roman" w:eastAsia="仿宋_GB2312" w:cs="Times New Roman"/>
                <w:color w:val="auto"/>
                <w:sz w:val="24"/>
              </w:rPr>
              <w:t>得</w:t>
            </w:r>
            <w:r>
              <w:rPr>
                <w:rFonts w:hint="default" w:ascii="Times New Roman" w:hAnsi="Times New Roman" w:eastAsia="仿宋_GB2312" w:cs="Times New Roman"/>
                <w:color w:val="auto"/>
                <w:sz w:val="24"/>
                <w:lang w:val="en-US" w:eastAsia="zh-CN"/>
              </w:rPr>
              <w:t>1</w:t>
            </w:r>
            <w:r>
              <w:rPr>
                <w:rFonts w:hint="default" w:ascii="Times New Roman" w:hAnsi="Times New Roman" w:eastAsia="仿宋_GB2312" w:cs="Times New Roman"/>
                <w:color w:val="auto"/>
                <w:sz w:val="24"/>
              </w:rPr>
              <w:t>分，受到</w:t>
            </w:r>
            <w:r>
              <w:rPr>
                <w:rFonts w:hint="default" w:ascii="Times New Roman" w:hAnsi="Times New Roman" w:eastAsia="仿宋_GB2312" w:cs="Times New Roman"/>
                <w:color w:val="auto"/>
                <w:sz w:val="24"/>
                <w:lang w:val="en-US" w:eastAsia="zh-CN"/>
              </w:rPr>
              <w:t>我协会或</w:t>
            </w:r>
            <w:r>
              <w:rPr>
                <w:rFonts w:hint="default" w:ascii="Times New Roman" w:hAnsi="Times New Roman" w:eastAsia="仿宋_GB2312" w:cs="Times New Roman"/>
                <w:color w:val="auto"/>
                <w:sz w:val="24"/>
              </w:rPr>
              <w:t>县级</w:t>
            </w:r>
            <w:r>
              <w:rPr>
                <w:rFonts w:hint="default" w:ascii="Times New Roman" w:hAnsi="Times New Roman" w:eastAsia="仿宋_GB2312" w:cs="Times New Roman"/>
                <w:color w:val="auto"/>
                <w:sz w:val="24"/>
                <w:lang w:val="en-US" w:eastAsia="zh-CN"/>
              </w:rPr>
              <w:t>及</w:t>
            </w:r>
            <w:r>
              <w:rPr>
                <w:rFonts w:hint="default" w:ascii="Times New Roman" w:hAnsi="Times New Roman" w:eastAsia="仿宋_GB2312" w:cs="Times New Roman"/>
                <w:color w:val="auto"/>
                <w:sz w:val="24"/>
              </w:rPr>
              <w:t>以上</w:t>
            </w:r>
            <w:r>
              <w:rPr>
                <w:rFonts w:hint="default" w:ascii="Times New Roman" w:hAnsi="Times New Roman" w:eastAsia="仿宋_GB2312" w:cs="Times New Roman"/>
                <w:color w:val="auto"/>
                <w:sz w:val="24"/>
                <w:lang w:val="en-US" w:eastAsia="zh-CN"/>
              </w:rPr>
              <w:t>人民</w:t>
            </w:r>
            <w:r>
              <w:rPr>
                <w:rFonts w:hint="default" w:ascii="Times New Roman" w:hAnsi="Times New Roman" w:eastAsia="仿宋_GB2312" w:cs="Times New Roman"/>
                <w:color w:val="auto"/>
                <w:sz w:val="24"/>
              </w:rPr>
              <w:t>政府表彰的得2分，以最高分计，</w:t>
            </w:r>
            <w:r>
              <w:rPr>
                <w:rFonts w:hint="default" w:ascii="Times New Roman" w:hAnsi="Times New Roman" w:eastAsia="仿宋_GB2312" w:cs="Times New Roman"/>
                <w:color w:val="auto"/>
                <w:sz w:val="24"/>
                <w:lang w:val="en-US" w:eastAsia="zh-CN"/>
              </w:rPr>
              <w:t>同一活动</w:t>
            </w:r>
            <w:r>
              <w:rPr>
                <w:rFonts w:hint="default" w:ascii="Times New Roman" w:hAnsi="Times New Roman" w:eastAsia="仿宋_GB2312" w:cs="Times New Roman"/>
                <w:color w:val="auto"/>
                <w:sz w:val="24"/>
              </w:rPr>
              <w:t>不重复计算</w:t>
            </w:r>
            <w:r>
              <w:rPr>
                <w:rFonts w:hint="default" w:ascii="Times New Roman" w:hAnsi="Times New Roman" w:eastAsia="仿宋_GB2312" w:cs="Times New Roman"/>
                <w:color w:val="auto"/>
                <w:sz w:val="24"/>
                <w:lang w:eastAsia="zh-CN"/>
              </w:rPr>
              <w:t>，</w:t>
            </w:r>
            <w:r>
              <w:rPr>
                <w:rFonts w:hint="default" w:ascii="Times New Roman" w:hAnsi="Times New Roman" w:eastAsia="仿宋_GB2312" w:cs="Times New Roman"/>
                <w:color w:val="auto"/>
                <w:sz w:val="24"/>
                <w:lang w:val="en-US" w:eastAsia="zh-CN"/>
              </w:rPr>
              <w:t>累计不超过5分</w:t>
            </w:r>
            <w:r>
              <w:rPr>
                <w:rFonts w:hint="default" w:ascii="Times New Roman" w:hAnsi="Times New Roman" w:eastAsia="仿宋_GB2312" w:cs="Times New Roman"/>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8" w:hRule="atLeast"/>
          <w:jc w:val="center"/>
        </w:trPr>
        <w:tc>
          <w:tcPr>
            <w:tcW w:w="760" w:type="dxa"/>
            <w:vMerge w:val="continue"/>
            <w:tcBorders>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 w:cs="Times New Roman"/>
                <w:color w:val="auto"/>
                <w:sz w:val="24"/>
              </w:rPr>
            </w:pPr>
          </w:p>
        </w:tc>
        <w:tc>
          <w:tcPr>
            <w:tcW w:w="1129" w:type="dxa"/>
            <w:vMerge w:val="continue"/>
            <w:tcBorders>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 w:cs="Times New Roman"/>
                <w:color w:val="auto"/>
                <w:sz w:val="24"/>
              </w:rPr>
            </w:pPr>
          </w:p>
        </w:tc>
        <w:tc>
          <w:tcPr>
            <w:tcW w:w="2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技术与科研</w:t>
            </w:r>
          </w:p>
        </w:tc>
        <w:tc>
          <w:tcPr>
            <w:tcW w:w="762"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5</w:t>
            </w:r>
          </w:p>
        </w:tc>
        <w:tc>
          <w:tcPr>
            <w:tcW w:w="4446" w:type="dxa"/>
            <w:tcBorders>
              <w:top w:val="single" w:color="auto" w:sz="4" w:space="0"/>
              <w:left w:val="single" w:color="auto" w:sz="4" w:space="0"/>
              <w:bottom w:val="single" w:color="auto" w:sz="4" w:space="0"/>
              <w:right w:val="single" w:color="auto" w:sz="4" w:space="0"/>
            </w:tcBorders>
            <w:noWrap w:val="0"/>
            <w:vAlign w:val="center"/>
          </w:tcPr>
          <w:p>
            <w:pPr>
              <w:spacing w:line="400" w:lineRule="exact"/>
              <w:rPr>
                <w:rFonts w:hint="default" w:ascii="Times New Roman" w:hAnsi="Times New Roman" w:eastAsia="仿宋" w:cs="Times New Roman"/>
                <w:color w:val="auto"/>
                <w:sz w:val="24"/>
                <w:lang w:val="en-US" w:eastAsia="zh-CN"/>
              </w:rPr>
            </w:pPr>
            <w:r>
              <w:rPr>
                <w:rFonts w:hint="default" w:ascii="Times New Roman" w:hAnsi="Times New Roman" w:eastAsia="仿宋_GB2312" w:cs="Times New Roman"/>
                <w:color w:val="auto"/>
                <w:sz w:val="24"/>
                <w:lang w:val="en-US" w:eastAsia="zh-CN"/>
              </w:rPr>
              <w:t>参与省级以上标准、规范、定额的编制1项得2分；获得园林绿化相关的新产品、新技术等专利，1项得2分。累计不超过5分</w:t>
            </w:r>
            <w:r>
              <w:rPr>
                <w:rFonts w:hint="default" w:ascii="Times New Roman" w:hAnsi="Times New Roman" w:eastAsia="仿宋_GB2312" w:cs="Times New Roman"/>
                <w:color w:val="auto"/>
                <w:sz w:val="24"/>
              </w:rPr>
              <w:t>。</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99C7CF"/>
    <w:multiLevelType w:val="singleLevel"/>
    <w:tmpl w:val="6D99C7CF"/>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yODQ4ODk1OGI4NmY0YWJhYzFmMTEzYTA0Yzk0YTUifQ=="/>
  </w:docVars>
  <w:rsids>
    <w:rsidRoot w:val="70F52CB1"/>
    <w:rsid w:val="70F52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2024-05-20T06:59:00Z</dcterms:created>
  <dc:creator>光头佬</dc:creator>
  <cp:lastModifiedBy>光头佬</cp:lastModifiedBy>
  <dcterms:modified xsi:type="dcterms:W3CDTF">2024-05-20T07:00:16Z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E636681F6A4247908A445509B7C92D0B_11</vt:lpwstr>
  </property>
</Properties>
</file>